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P/4941/2018 vom 8. März 2019</w:t>
      </w:r>
    </w:p>
    <w:p>
      <w:r>
        <w:t>GE Cour de justice, 2019-03-08, FR</w:t>
      </w:r>
    </w:p>
    <w:p>
      <w:r>
        <w:rPr>
          <w:b/>
        </w:rPr>
        <w:t xml:space="preserve">Quelle: </w:t>
      </w:r>
      <w:r>
        <w:t>https://mcp.opencaselaw.ch/entscheid/ge_gerichte_P_4941_2018</w:t>
      </w:r>
    </w:p>
    <w:p>
      <w:r>
        <w:t>FR: GE_GERICHTE P/4941/2018 du 8 mars 2019</w:t>
      </w:r>
    </w:p>
    <w:p>
      <w:r>
        <w:t>IT: GE_GERICHTE P/4941/2018 del 8 marzo 2019</w:t>
      </w:r>
    </w:p>
    <w:p>
      <w:pPr>
        <w:pStyle w:val="Heading2"/>
      </w:pPr>
      <w:r>
        <w:t>Regeste</w:t>
      </w:r>
    </w:p>
    <w:p>
      <w:r>
        <w:t>DÉFENSE OBLIGATOIRE ; DÉFENSE D'OFFICE ; AFFECTION PSYCHIQUE ; INTÉRÊT JURIDIQUEMENT PROTÉGÉ | CPP.130; CPP.132; CPP.134; CPP.382</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de la prévenue, partie à la procédure (art. 104 al. 1 let. a CPP).![endif]&gt;![if&gt;</w:t>
      </w:r>
    </w:p>
    <w:p>
      <w:r>
        <w:rPr>
          <w:b/>
        </w:rPr>
        <w:t>E. 1.2</w:t>
      </w:r>
    </w:p>
    <w:p>
      <w:r>
        <w:t>Reste à déterminer si la recourante dispose d'un intérêt juridiquement protégé à recourir (art. 382 CPP).</w:t>
      </w:r>
    </w:p>
    <w:p>
      <w:r>
        <w:rPr>
          <w:b/>
        </w:rPr>
        <w:t>E. 1.2.1</w:t>
      </w:r>
    </w:p>
    <w:p>
      <w:r>
        <w:t>Selon l'art. 382 al. 1 CPP, toute partie qui a un intérêt juridiquement protégé à l'annulation ou à la modification d'une décision a qualité pour recourir contre celle-ci. L'intérêt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p. 84 s. = SJ 2018 I 421 ; arrêt du Tribunal fédéral 6B_818/2018 du 4 octobre 2018 consid. 2.1).</w:t>
      </w:r>
    </w:p>
    <w:p>
      <w:r>
        <w:rPr>
          <w:b/>
        </w:rPr>
        <w:t>E. 1.2.2</w:t>
      </w:r>
    </w:p>
    <w:p>
      <w:r>
        <w:t>À la lecture du recours, il n'est pas clair si la recourante s'en prend à la décision querellée en ce qu'elle lui désigne une avocate de l'Étude G______ ou si elle fait également grief au Ministère public de lui avoir nommé un avocat d'office. En tant qu'elle contesterait le principe de la nomination, on ne voit pas en quoi le régime de la défense obligatoire, et la nomination d'un avocat d'office pour cette raison, léserait la recourante. Au contraire, compte tenu des conclusions de l'expertise psychiatrique, que la recourante ne remet pas en question, il est dans l'intérêt de celle-ci d'être assistée d'un avocat dans la présente procédure, dans laquelle elle est prévenue de plusieurs délits (art. 10 al. 3 CP et 130 let. c CPP). Dès lors, la recourante ne pouvant se prévaloir de la qualité pour recourir contre une décision qui lui est favorable, son recours apparaît irrecevable sur ce point.</w:t>
      </w:r>
    </w:p>
    <w:p>
      <w:r>
        <w:rPr>
          <w:b/>
        </w:rPr>
        <w:t>E. 1.3</w:t>
      </w:r>
    </w:p>
    <w:p>
      <w:r>
        <w:t>Les conclusions de la recourante tendant à la jonction des procédures pénales ainsi qu'à la poursuite et au jugement des infractions au for de son domicile sont également irrecevables. N'ayant pas fait l'objet de la décision querellée, ces points ne peuvent en effet être soulevés devant l'autorité de recours.</w:t>
      </w:r>
    </w:p>
    <w:p>
      <w:r>
        <w:rPr>
          <w:b/>
        </w:rPr>
        <w:t>E. 4</w:t>
      </w:r>
    </w:p>
    <w:p>
      <w:r>
        <w:t>La recourante, qui succombe, supportera les frais envers l'État, qui seront fixés en totalité à CHF 600.- pour tenir compte de ses moyens financiers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