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P/4918/2023 vom 29. August 2024</w:t>
      </w:r>
    </w:p>
    <w:p>
      <w:r>
        <w:t>GE Cour de justice, 2024-08-29, FR</w:t>
      </w:r>
    </w:p>
    <w:p>
      <w:r>
        <w:rPr>
          <w:b/>
        </w:rPr>
        <w:t xml:space="preserve">Quelle: </w:t>
      </w:r>
      <w:r>
        <w:t>https://mcp.opencaselaw.ch/entscheid/ge_gerichte_P_4918_2023</w:t>
      </w:r>
    </w:p>
    <w:p>
      <w:r>
        <w:t>FR: GE_GERICHTE P/4918/2023 du 29 août 2024</w:t>
      </w:r>
    </w:p>
    <w:p>
      <w:r>
        <w:t>IT: GE_GERICHTE P/4918/2023 del 29 agosto 2024</w:t>
      </w:r>
    </w:p>
    <w:p>
      <w:pPr>
        <w:pStyle w:val="Heading2"/>
      </w:pPr>
      <w:r>
        <w:t>Regeste</w:t>
      </w:r>
    </w:p>
    <w:p>
      <w:r>
        <w:t>RÉVISION(DÉCISION) | cpp.410</w:t>
      </w:r>
    </w:p>
    <w:p>
      <w:pPr>
        <w:pStyle w:val="Heading2"/>
      </w:pPr>
      <w:r>
        <w:t>Erwägungen</w:t>
      </w:r>
    </w:p>
    <w:p>
      <w:r>
        <w:rPr>
          <w:b/>
        </w:rPr>
        <w:t>E. 1</w:t>
      </w:r>
    </w:p>
    <w:p>
      <w:r>
        <w:t>La Chambre pénale d'appel et de révision (CPAR) est l'autorité compétente en matière de révision (art. 21 al. 1 let. b du code de procédure pénale [CPP] et art. 130 al. 1 let. a de la loi d'organisation judiciaire [LOJ]). La demande de révision a été déposée dans la forme prescrite par la loi, étant précisée qu'elle n’est soumise à aucun délai in casu (art. 411 al. 1 et al. 2 in fine CPP cum 410 al. 1 let. a). Conformément à l’art. 388 al. 2 let. a CPP, la direction de la procédure peut décider de ne pas entrer en matière sur les recours manifestement irrecevables.</w:t>
      </w:r>
    </w:p>
    <w:p>
      <w:r>
        <w:rPr>
          <w:b/>
        </w:rPr>
        <w:t>E. 2</w:t>
      </w:r>
    </w:p>
    <w:p>
      <w:r>
        <w:t>2.1. L'art. 410 al. 1 let. a CPP prévoit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du condamné. La juridiction d'appel n'entre pas en matière si la demande de révision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144 IV 121 consid. 1.8 et 143 IV 122 consid. 3.5) ou encore lorsque la demande de révision apparaît abusive (arrêt du Tribunal fédéral 6B_662/2019 du 23 août 2019 consid. 1.1).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 Il s'agit dans chaque cas d'examiner au regard des circonstances de l'espèce, si la demande de révision tend à contourner les voies de droit ordinaires (arrêts du Tribunal fédéral 6B_1214/2015 du 30 août 2016 consid. 2 ; 6B_980/2015 du 13 juin 2016 consid. 1.3.2). Il résulte de l'art. 354 al. 3 CPP qu'une ordonnance pénale qui n'est valablement pas frappée d'une opposition est assimilée à un jugement entré en force.</w:t>
      </w:r>
    </w:p>
    <w:p>
      <w:r>
        <w:rPr>
          <w:b/>
        </w:rPr>
        <w:t>E. 2.2</w:t>
      </w:r>
    </w:p>
    <w:p>
      <w:r>
        <w:t>Par faits au sens de l’art. 410 al. 1 let. a CPP,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137 IV 59 consid. 5.1.1).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Le fait invoqué doit déjà exister avant l'entrée en force du premier jugement ; un fait postérieur ne saurait entrer en considération. Ainsi, la disparition d'une condition à l'ouverture de l'action pénale, tel qu'un retrait de plainte, survenue seulement après l'entrée en force du jugement ne constitue pas un motif de révision (arrêt du Tribunal fédéral 6B_1083/2021 du 16 décembre 2022 destiné à la publication consid. 2.3).</w:t>
      </w:r>
    </w:p>
    <w:p>
      <w:r>
        <w:rPr>
          <w:b/>
        </w:rPr>
        <w:t>E. 2.3</w:t>
      </w:r>
    </w:p>
    <w:p>
      <w:r>
        <w:t>À teneur de l’art. 35 du code pénal (CP), qui traite du recouvrement des peines pécuniaires, l’autorité d’exécution fixe au condamné un délai de paiement de un à six mois. Elle peut autoriser le paiement par acomptes et, sur requête, prolonger les délais. Si le condamné ne paie pas la peine pécuniaire dans le délai imparti, l’autorité d’exécution intente contre lui une poursuite pour dettes, pour autant qu’un résultat puisse en être attendu. L’art. 36 CP prescrit que, dans la mesure où le condamné ne paie pas la peine pécuniaire et que celle-ci est inexécutable par la voie de la poursuite pour dettes (art. 35, al. 3), la peine pécuniaire fait place à une peine privative de liberté. Un jour-amende correspond à un jour de peine privative de liberté. Le paiement ultérieur de la peine pécuniaire entraîne une réduction proportionnelle de la peine privative de liberté de substitution. Jusqu’à l’entrée en vigueur le 1 er janvier 2017 de la révision de la partie générale, l’art. 36 al. 3 aCP prévoyait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(a), soit de réduire le montant du jour-amende (b), soit d’ordonner un travail d’intérêt général (c.). Cette disposition a toutefois été abrogée, sans contrepartie. Il n’est dès lors plus possible de modifier le montant du jour-amende si la situation personnelle ou financière du prévenu se modifie après son prononcé. Cette évolution législative, qualifiée de régression par une partie de la doctrine (cf. (L. MOREILLON / A. MACALUSO / N. QUELOZ [éds], Commentaire romand, Code pénal I, 2ème éd. 2021, n. 9 ad art. 36 CP), constitue une difficulté particulière pour les prévenus dont la situation financière se péjore après le prononcé (M. NIGGLI / H. WIPRÄCHTIGER, Basler Kommentar Strafrecht I : Art. 1-136 StGB, Bâle 2019, n. 19 ad art. 36 CP). 2.4.1. Le premier argument dont se prévaut le demandeur, à savoir que le montant du jour-amende ne tient pas compte de ses dettes (au sujet desquelles il ne produit que des copies de pièces caviardées), était connu de lui lorsqu’il a rempli le formulaire de situation personnelle à la police dans lequel il affirmait le contraire, ainsi qu’au moment de la délivrance des deux ordonnances pénales litigieuses. Il était donc en mesure de le faire valoir dans le délai légal de l'opposition, lequel a expiré sans avoir été valablement utilisé. Dans ces conditions, il n’est pas nécessaire d’examiner si les faits allégués au moyen de pièces caviardées sont sérieux. En effet, la demande en révision apparaît comme un moyen de contourner la voie de droit ordinaire et il n’y a pas lieu d’y donner suite. Ce premier grief est irrecevable. 2.4.2. Le second argument dont se prévaut le demandeur, à savoir la modification de sa situation personnelle et financière, est postérieur aux prononcés litigieux. Or, la voie de la révision au sens de l’art. 410 let. a CPP n’est pas ouverte pour faire valoir des faits nouveaux ultérieurs. Une modification de la situation personnelle du condamné ne constitue pas non plus un motif de révision au sens des lettres b. et c. de cette disposition. Il n’appartient pas à la CPAR, saisie d’une demande de révision, de revenir sur une adaptation législative voulue par le législateur et entrée en force. Ce second grief doit dès lors également être écarté et la demande de révision déclarée irrecevable au sens de l'art. 412 al. 2 CPP.</w:t>
      </w:r>
    </w:p>
    <w:p>
      <w:r>
        <w:rPr>
          <w:b/>
        </w:rPr>
        <w:t>E. 3</w:t>
      </w:r>
    </w:p>
    <w:p>
      <w:r>
        <w:t>Vu l'issue de la procédure, et compte tenu des circonstances de la cause, les frais de la procédure de révision seront laissés à la charge de l’État (art. 425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