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P/4882/2015 vom 21. Dezember 2015</w:t>
      </w:r>
    </w:p>
    <w:p>
      <w:r>
        <w:t>GE Cour de justice, 2015-12-21, FR</w:t>
      </w:r>
    </w:p>
    <w:p>
      <w:r>
        <w:rPr>
          <w:b/>
        </w:rPr>
        <w:t xml:space="preserve">Quelle: </w:t>
      </w:r>
      <w:r>
        <w:t>https://mcp.opencaselaw.ch/entscheid/ge_gerichte_P_4882_2015</w:t>
      </w:r>
    </w:p>
    <w:p>
      <w:r>
        <w:t>FR: GE_GERICHTE P/4882/2015 du 21 décembre 2015</w:t>
      </w:r>
    </w:p>
    <w:p>
      <w:r>
        <w:t>IT: GE_GERICHTE P/4882/2015 del 21 dicembre 2015</w:t>
      </w:r>
    </w:p>
    <w:p>
      <w:pPr>
        <w:pStyle w:val="Heading2"/>
      </w:pPr>
      <w:r>
        <w:t>Regeste</w:t>
      </w:r>
    </w:p>
    <w:p>
      <w:r>
        <w:t>PLAINTE PÉNALE; RETRAIT(VOIE DE DROIT); IN DUBIO PRO REO; POUVOIR D'APPRÉCIATION; PARTICIPATION À L'INFRACTION; COMPLICITÉ; COAUTEUR(DROIT PÉNAL); AVEU; DOMMAGES À LA PROPRIÉTÉ(DROIT PÉNAL); FIXATION DE LA PEINE; ATTÉNUATION DE LA PEINE; REPENTIR SINCÈRE; CLASSEMENT DE LA PROCÉDURE | CP.22; CP.139.1; CP.144.1; CP.144.3; CP.186; CPP.120.1; CPC.65; CPP.379; CPP.329.4; LEtr.115.1.b; CP.47; CP.48.a.3; CP.48.d</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6B_275/2014 du 5 novembre 2014 consid. 6.2 et les référence citées). 3.2.1. L'art. 139 ch. 1 CP punit d'une peine privative de liberté de cinq ans au plus ou d'une peine pécuniaire, celui qui, pour se procurer ou procurer à un tiers un enrichissement illégitime, aura soustrait une chose mobilière appartenant à autrui dans le but de se l'approprier. Pour qu'il y ait vol, il faut que l'auteur soustraie la chose à autrui, c'est-à-dire qu'il brise la possession d'autrui pour constituer une nouvelle possession sur la chose. La notion de possession, au sens de l'art. 139 CP, n'est pas la même que celle de droit civil (art. 919 du Code civil suisse du 10 décembre 1907 [CC - RS 210]). En matière pénale, la possession (Gewahrsam, possesso) est définie comme un pouvoir de fait sur la chose, selon les règles de la vie sociale. Elle présuppose la disposition effective de la chose et la volonté de la posséder (arrêt du Tribunal fédéral 6B_243/2014 du 15 juillet 2014 consid. 2.3 et les réf. citées). En principe, la rupture de la possession et la création d'une nouvelle interviennent par l'accomplissement d'un seul et unique acte de l'auteur (A. DONATSCH, Strafrecht III : Delikte gegen den Einzelnen , 9 e éd., Zurich/Bâle/Genève 2008, p. 141). La participation au vol sous la forme de complicité demeure possible entre la consommation ( Vollendung ) et l'achèvement ( Beedigung ) de l'infraction, soit entre le moment où la soustraction est parfaite et l'appropriation effective de la chose soustraite (ATF 104 IV 156 consid. 3 et les réf. citées). 3.2.2. Selon l'art. 144 al. 1 CP, se rend coupable de dommage à la propriété celui qui aura endommagé, détruit ou mis hors d'usage une chose appartenant à autrui ou frappée d'un droit d'usage ou d'usufruit au bénéfice d'autrui et sera puni sur plainte. Si l'auteur a causé un dommage considérable, le juge pourra prononcer une peine privative de liberté de un à cinq ans et la poursuite aura lieu d'office (al. 3). Un dommage supérieur à CHF 10'000.- doit être qualifié de considérable au sens de l'art. 144 al. 3 CP (ATF 136 IV 117 consid. 4.3.1 p. 118). 3.3.1.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3.3.2. Agit comme complice, celui qui prête intentionnellement assistance à l'auteur pour commettre un crime ou un délit ( cf .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p. 51-52 ; 121 IV 109 consid. 3a p. 119-120 ; arrêt du Tribunal fédéral 6B_72/2009 du 20 mai 2009 consid. 2.1.). Le complice qui réalise des actes d'exécution du comportement incriminé sera considéré comme un coauteur (J. HURTADO POZO, Droit pénal : partie générale , nouv. éd., Genève/Zurich/Bâle 2008, n. 1172, p. 377). À l'inverse de celui-ci,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2.1</w:t>
      </w:r>
    </w:p>
    <w:p>
      <w:r>
        <w:t>La violation de domicile, réprimée par l'art. 186 CP, n'est poursuivie que sur plainte. À teneur de l'art. 33 al. 1 CP, le lésé ayant déposé une plainte peut la retirer tant que le jugement de deuxième instance cantonale n'a pas été prononcé (ATF 117 IV 1 consid. 2.a) = JdT 1993 IV 66). Le retrait est irrévocable et définitif (art. 33 al. 2 CP). La plainte pénale étant une condition de l'exercice de l'action publique pour les infractions poursuivies sur plainte, son retrait a pour conséquence l'abandon de la poursuite, et non pas l'acquittement (M. DUPUIS / B. GELLER / G. MONNIER / L. MOREILLON / C. PIGUET / C. BETTEX / D. STOLL (éds), Code pénal - Petit commentaire , Bâle 2012, n. 1 ss ad art. 30). Les dispositions de la procédure de première instance s'appliquant par analogie à la procédure de recours ( Rechtsmittel, cf . art. 379 CPP), lorsque l'instance de recours constate qu'il existe un empêchement de procéder, la procédure est classée conformément à l'art. 329 al. 4 CPP appliqué par analogie (arrêt du Tribunal fédéral 6B_1045/2014 du 19 mai 2015 consid. 4.2 [non publié in ATF 141 IV 205 ], ATF 139 IV 161 consid. 2.7. p. 168 = JdT 2014 IV 66). Aux termes de l'art. 120 al. 1 CPP, le lésé peut en tout temps déclarer renoncer à user des droits qui sont les siens. La renonciation est définitive et emporte, au stade de l'appel, désistement d'action au sens de l'art. 65 du Code de procédure civile du 19 décembre 2008 (CPC - RS 272 ; arrêt du Tribunal fédéral 5A_274_2015 du 25 août 2015 consid. 3.3.2. destiné à la publication).</w:t>
      </w:r>
    </w:p>
    <w:p>
      <w:r>
        <w:rPr>
          <w:b/>
        </w:rPr>
        <w:t>E. 2.2</w:t>
      </w:r>
    </w:p>
    <w:p>
      <w:r>
        <w:t>D______ ayant retiré sa plainte pénale, tout comme C______ avant elle, l'infraction de violation de domicile doit être classée et l'appelant libéré de sa condamnation au paiement des prétentions civiles. Partant, le jugement entrepris sera annulé et réformé en conséquence.</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3.4</w:t>
      </w:r>
    </w:p>
    <w:p>
      <w:r>
        <w:t>En l'occurrence, il est établi, et au demeurant non contesté, que l'appelant a participé au cambriolage commis dans la nuit du 22 au 23 février 2015. Pour autant, il reste à déterminer quel a été son rôle. On ne saurait en effet se contenter, comme l'a fait le premier juge, d'affirmer que l'intéressé aurait d'avance adhéré globalement au plan de ses comparses, quel qu'il fût, ce qui ferait de lui un coauteur de toute activité illicite à laquelle ils allaient se livrer. Sur la base des éléments du dossier, il peut être retenu qu'il s'est rendu sur place, guidé par l'un des auteurs, suivant la voiture où avaient pris place les autres, qu'il a attendu au pied de l'immeuble où se déroulaient les faits puis qu'il en est reparti, après que le coffre-fort volé eut été chargé dans sa voiture. Il n'est en revanche établi ni qu'il aurait accompagné ses comparses dans les locaux visités, ni même qu'il savait d'emblée qu'il était censé transporter un coffre volé. En effet, la tentative de percer ce safe sur place semble indiquer que les voleurs envisageaient plutôt de s'emparer de son contenu et n'ont chargé l'objet sur la voiture de l'appelant que parce qu'ils avaient changé de plan, pour un motif non élucidé. Dans ces circonstances, il faut retenir que le rôle de l'appelant était initialement celui de faire le guet, puis qu'il a encore accepté de transporter le coffre, ce qui avait pour conséquence de l'exposer lui, plutôt que les individus qui l'avaient mis en œuvre, au risque d'être identifié, comme cela est en définitive arrivé. L'une et l'autre activité relèvent de la complicité, n'étant pas indispensables à la commission de l'infraction. En particulier, si l'appelant n'avait pas été présent, ses comparses auraient pu charger le coffre dans leur propre voiture au risque de se faire interpeller. Le caractère accessoire de l'intervention de l'appelant est encore renforcé par le fait que s'il peut être admis qu'il devait recevoir une rémunération, l'expérience enseignant que ce type de service ne se rend pas gratuitement, il n'est pas pour autant démontré qu'il devait recevoir une part congrue du butin. Dans ces circonstances, et au bénéfice de la présomption d'innocence, il sera retenu, sur la base des déclarations de l'appelant, et en l'absence d'autre élément du dossier, que son rôle était celui d'un complice. L'appel est admis sur ce point et le jugement entrepris réformé en conséquence.</w:t>
      </w:r>
    </w:p>
    <w:p>
      <w:r>
        <w:rPr>
          <w:b/>
        </w:rPr>
        <w:t>E. 4</w:t>
      </w:r>
    </w:p>
    <w:p>
      <w:r>
        <w:t>4.1.1. Aux termes de l'art. 48 let. d CP, le juge atténue la peine si l'auteur a manifesté par des actes un repentir sincère, notamment s'il a réparé le dommage autant qu'on pouvait l'attendre de lui. Cette disposition correspond textuellement à l'ancien art. 64 al. 7 CP, de sorte que la jurisprudence y relative conserve sa valeur (arrêt du Tribunal fédéral 6B_614/2009 du 10 août 2009 consid. 1). Cette circonstance atténuante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p. 99). C'est la prise de conscience révélée par les actes de repentir qui entrent en considération, les excuses présentées ou un bon comportement durant la procédure n'étant en eux-mêmes pas suffisants ; dans tous les cas, le juge doit tenter de cerner les motivations réelles de l'auteur du repentir (R. ROTH / L. MOREILLON (éd.), Code pénal I : art. 1-100 CP , Bâle 2009, n. 38 ad art. 48 CP). L'intéressé ne peut bénéficier de cette circonstance atténuante que s'il a agi, non sous la pression du procès à venir, ni pour des raisons tactiques, mais mû par la volonté de réparer le tort causé (arrêt du Tribunal fédéral 6B_291/2007 du 25 janvier 2008 consid. 3.2).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 4.1.2. Selon l'art. 48 al. 1 let. a ch. 3 CP, le juge atténue la peine si l'auteur a agi sous l'effet d'une menace grave. Agit sous l'effet d'une menace grave celui qui commet une infraction sous l'empire d'une force contraignante, d'une menace ou d'une violence relativement irrésistible, telle que la contrainte psychique (M. DUPUIS / B. GELLER / G. MONNIER / L. MOREILLON / C. PIGUET (éds), op. cit. Bâle 2012, n. 12 ad art. 48). 4.2.1. Il est vrai qu'en se rendant à la police, l'appelant a consenti un effort qui mérite d'être pris en considération, d'autant plus que ses dires au sujet des menaces subies par lui-même et ses proches ne peuvent être sans autre écartées. Ce constat doit cependant être tempéré d'une part par le fait que l'appelant savait qu'il allait être identifié, comme il l'a d'emblée déclaré à la police, d'autre part parce que sa collaboration ne s'est pas étendue au point de donner des indications suffisamment précises pour identifier les auteurs. Il faut tenir compte aussi de son refus d'assumer une responsabilité à l'égard des parties plaignantes, ce qui dénote une prise de conscience imparfaite, incompatible avec la notion de repentir sincère. L'appelant ne sera donc pas suivi en tant qu'il plaide la circonstance atténuante de l'art. 48 let. d CP, sa reddition et sa bonne collaboration étant prises en considération, dans la mesure opportune, au stade de la fixation de la peine. 4.2.2. Comme mentionné supra , les allégations de menaces dirigées contre l'appelant et sa famille ne sont pas dénuées de crédibilité, dans la mesure où elles sont cohérentes avec la perte du safe et ont été confirmées par sa compagne. Cependant, de telles intimidations ne sauraient servir à atténuer la faute de l'auteur pour avoir été proférées après les faits reprochés. En ce qui concerne les menaces émises antérieurement aux faits et qui auraient décidé l'appelant à y participer, celui-ci ne les a mentionnées que lors de sa seconde audition par le Ministère public, sans que sa compagne ne le confirme. Auparavant, l'intéressé avait fait état d'une certaine insistance du groupe pour le pousser à participer aux faits, mais il avait aussi admis avoir espéré une rémunération pour ses services. Dans ces circonstances, les conditions de la circonstance atténuante de l'art. 48 let. a ch. 3 CP ne sont pas réalisées.</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5.1.2.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op. cit.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5.1.3.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rPr>
          <w:b/>
        </w:rPr>
        <w:t>E. 5.2</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destiné à la publication).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Lorsque l'hypothèse visée par l'art. 42 al. 2 CP est réalisée, un sursis partiel au sens de l'art. 43 CP est exclu (arrêt du Tribunal fédéral 6B_352/2014 précité).</w:t>
      </w:r>
    </w:p>
    <w:p>
      <w:r>
        <w:rPr>
          <w:b/>
        </w:rPr>
        <w:t>E. 5.3</w:t>
      </w:r>
    </w:p>
    <w:p>
      <w:r>
        <w:t>En l'espèce, la faute de l'appelant est d'une certaine importance. Il a été le complice d'un cambriolage causant des atteintes importantes au patrimoine d'autrui, pénétrant à cet effet sans droit sur le territoire suisse. À sa décharge, sa participation est restée au stade de la complicité. Son mobile, égoïste, relève de l'appât du gain. Bien qu'il ne soit pas impossible qu'une certaine pression ait décidé l'appelant à participer aux faits, il reste qu'il attendait une rémunération. La collaboration de l'appelant doit être qualifiée de correcte à bonne. L'intéressé, de par sa reddition et l'absence de contestation quant au type de peine, semble avoir pris conscience dans une certaine mesure de sa faute. Cela étant, ses aveux n'ont pas facilité la procédure, ses comparses n'ayant toujours pas été appréhendés Ses antécédents sont nombreux et spécifiques. Bien qu'il n'ait plus récidivé depuis quelques années, sa situation familiale et professionnelle aurait dû l'empêcher de commettre de nouvelles infractions. Rien dans sa situation personnelle ne permet d'expliquer son passage à l'acte, l'appelant et sa concubine bénéficiant de revenus réguliers. Il y a concours d'infraction (art. 49 CP) et aucune circonstance atténuante de l'art. 48 CP n'est réalisée. Au vu de la requalification de la participation de l'appelant, il convient de ramener la quotité de la peine prononcée à dix mois et de réformer le jugement entrepris en conséquence. Les circonstances ne paraissent pas particulièrement favorables. Aussi, il ne saurait être question d'aucune forme de sursis, ce qui n'est pas contesté.</w:t>
      </w:r>
    </w:p>
    <w:p>
      <w:r>
        <w:rPr>
          <w:b/>
        </w:rPr>
        <w:t>E. 6</w:t>
      </w:r>
    </w:p>
    <w:p>
      <w:r>
        <w:t>Les motifs ayant conduit le premier juge à prononcer, par ordonnance séparée du 24 août 2015, le maintien de l'appelant, en détention pour des motifs de sûreté sont toujours d'actualité, ce que celui-ci ne conteste au demeurant pas, de sorte que la mesure sera reconduite mutatis mutandis (ATF 139 IV 277 consid. 2.2 à 2.3) jusqu'au 12 janvier 2016.</w:t>
      </w:r>
    </w:p>
    <w:p>
      <w:r>
        <w:rPr>
          <w:b/>
        </w:rPr>
        <w:t>E. 7.1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7.2</w:t>
      </w:r>
    </w:p>
    <w:p>
      <w:r>
        <w:t>L'appel ayant abouti, il convient de laisser à la charge de l'État l'émolument complémentaire de première instance ainsi que les frais de la procédure d'appel.</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8.2.4. Selon l'art. 17 RAJ, l'état de frais doit détailler, par rubriques, les activités donnant lieu à indemnisation, avec indication du temps consacré, et les justificatifs doivent être joints. 8.2.5.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AARP/326/2015 du 16 juillet 2015 ; AARP/193/2015 du 27 avril 2015 ; AARP/55/2015 du 25 mars 2015 ; AARP/265/2014 du 6 juin 2014 ; AARP/501/2013 du 28 octobre 2013) de même que d'autres documents ne nécessitant pas ou peu de motivation ou autre investissement particulier en termes de travail juridique, telle l'opposition à ordonnance pénale ( AARP/161/2014 du 28 mars 2014), l'annonce d'appel ( AARP/304/2015 du 16 juillet 2015), la déclaration d'appel (ordonnance de la Cour des plaintes du Tribunal pénal fédéral BB.2014.51 du 21 novembre 2014 consid. 2.1 ; décisions de la Cour des plaintes du Tribunal pénal fédéral BB.2013.165 du 24 janvier 2014 consid. 4.1.3 et BB.2013.127 du 4 décembre 2013 consid. 4.2 ) ou d'appel joint ( AARP/133/2015 du 3 mars 2015), la demande de non-entrée en matière sur un appel ( AARP/421/2014 du 30 septembre 2014) pour autant qu'elle n'ait pas nécessité de développements importants, de brèves observations ou déterminations, notamment au Tribunal des mesures de contraintes ou sur la prolongation de la détention ( AARP/326/2015 du 16 juillet 2015 ; AARP/281/2015 du 25 juin 2015 ; AARP/277/2014 du 17 juin 2014 ; AARP/131/2014 du 25 mars 2014), de la requête d'exécution anticipée de la peine (décision de la Cour des plaintes du Tribunal pénal fédéral BB.2013.22 du 31 octobre 2013 consid. 5.2.3) ou encore d'une demande de levée de l'ordre d'écrou ( AARP/94/2015 du 17 février 2015 ; AARP/12/2015 du 13 janvier 2015).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AARP/295/2015 du 12 juillet 2015 consid. 8.1.4.1 et 8.3.1.1 ; AARP/209/2015 du 4 mai 2015 consid. 13.4 refusant la couverture de la rédaction de conclusions civiles en appel reprenant celles déposées en première instance).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AARP/331/2015 du 27 juillet 2015 ; AARP/362/2015 du 16 juillet 2015 ; AARP/281/2015 du 25 juin 2015 ; AARP/272/2015 du 1 er juin 2015 ; AARP/269/2015 du 9 juin 2015 ; AARP/152/2015 du 24 mars 2015 ; AARP/132/2015 du 4 mars 2015 ; AARP/455/2014 du 29 octobre 2014), contrairement au cas où un examen plus poussé s'imposait, notamment aux fins de déterminer l'opportunité d'un recours au plan cantonal. 8.2.6.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pour les avocats et une heure pour les avocats-stagiaires, ce qui comprend le temps de déplacement. 8.3.1. Conformément aux principes qui précèdent, il convient d'écarter de l'état de frais du défenseur d'office de l'appelant les 60 minutes consacrées à la rédaction de la déclaration d'appel, qui n'a pas à être motivée, et les 40 minutes pour la lecture du jugement. Par ailleurs, sur les 9 heures et 45 minutes consacrées à la rédaction du mémoire d'appel motivé, seules 6 heures seront prises en compte, lecture du jugement comprise, au regard de la complexité de la cause. 8.3.2. En conclusion, l'activité déployée en appel par la défense d'office de l'appelant couverte par l'assistance juridique sera donc arrêtée à 12 heures et 50 minutes d'activité de chef d'étude. Il convient d'y ajouter l'indemnisation forfaire de 10% vu l'ensemble de l'activité déployée au cours de la procédure. L'indemnisation requise sera accordée à concurrence de CHF 2'823.35.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