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P/4877/2024 vom 24. Februar 2025</w:t>
      </w:r>
    </w:p>
    <w:p>
      <w:r>
        <w:t>GE Cour de justice, 2025-02-24, FR</w:t>
      </w:r>
    </w:p>
    <w:p>
      <w:r>
        <w:rPr>
          <w:b/>
        </w:rPr>
        <w:t xml:space="preserve">Quelle: </w:t>
      </w:r>
      <w:r>
        <w:t>https://mcp.opencaselaw.ch/entscheid/ge_gerichte_P_4877_2024</w:t>
      </w:r>
    </w:p>
    <w:p>
      <w:r>
        <w:t>FR: GE_GERICHTE P/4877/2024 du 24 février 2025</w:t>
      </w:r>
    </w:p>
    <w:p>
      <w:r>
        <w:t>IT: GE_GERICHTE P/4877/2024 del 24 febbraio 2025</w:t>
      </w:r>
    </w:p>
    <w:p>
      <w:pPr>
        <w:pStyle w:val="Heading2"/>
      </w:pPr>
      <w:r>
        <w:t>Regeste</w:t>
      </w:r>
    </w:p>
    <w:p>
      <w:r>
        <w:t>VOL(DROIT PÉNAL);DOMMAGES À LA PROPRIÉTÉ(DROIT PÉNAL);VIOLATION DE DOMICILE;RUPTURE DE BAN;RETRAIT(VOIE DE DROIT) | CP.139; CP.144; CP.186; CP.291; CPP.386.al2</w:t>
      </w:r>
    </w:p>
    <w:p>
      <w:pPr>
        <w:pStyle w:val="Heading2"/>
      </w:pPr>
      <w:r>
        <w:t>Erwägungen</w:t>
      </w:r>
    </w:p>
    <w:p>
      <w:r>
        <w:rPr>
          <w:b/>
        </w:rPr>
        <w:t>E. 1.1</w:t>
      </w:r>
    </w:p>
    <w:p>
      <w:r>
        <w:t>. L'appel est recevable pour avoir été interjeté et motivé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1.3</w:t>
      </w:r>
    </w:p>
    <w:p>
      <w:r>
        <w:t>Selon l'art. 386 al. 2 let. b CPP, quiconque a interjeté un recours peut le retirer, s’agissant d’une procédure écrite, avant la clôture de l’échange de mémoires et le terme fixé pour apporter des compléments de preuves ou compléter le dossier. À cet égard, le législateur n'a pas voulu qu'un recours puisse être retiré jusqu'à ce que l'arrêt soit rendu. Il a fixé le dernier moment pour un tel retrait, en procédure écrite, avant le dernier échange des mémoires et les éventuels compléments de preuves. En d'autres termes, un retrait est concevable aussi longtemps que les parties ont encore une forme de maîtrise sur la procédure ; après ce stade, un retrait ne déploie plus d'effet et un jugement doit être rendu (cf. en ce sens, Jo PITTELOUD, Commentaire du Code de procédure pénale suisse, 2012, n. 1129 p. 766 ; Richard CALAME, in : Commentaire romand, Code de procédure pénale suisse, 2011, n. 4 ad art. 386 CPP, p. 1738 ; Thomas MAURER, in : GOLDSCHMID/MAURER/SOLLBERGER, Kommentierte Textausgabe zur Schweizerischen Strafprozessordnung, 2008, p. 380 ; d'un autre avis : Mauro MINI, in : Commentario, Codice svizzero di procedura penale, 2010, n. 2 ad art. 386 CPP, p. 713 ; arrêt du Tribunal fédéral 1B_30/2016 du 12 février 2016 consid. 3). En l'espèce, le retrait de l'appel survenu le 21 janvier 2025, soit après l'échange d'écritures des parties et postérieurement à l'annonce selon laquelle la cause était gardée à juger, est tardif et ne déploie plus d'effet. Il sera donc statué sur le fond.</w:t>
      </w:r>
    </w:p>
    <w:p>
      <w:r>
        <w:rPr>
          <w:b/>
        </w:rPr>
        <w:t>E. 2</w:t>
      </w:r>
    </w:p>
    <w:p>
      <w:r>
        <w:t>2.1.1.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À teneur de l'art. 291 CP, quiconque contrevient à une décision d'expulsion du territoire de la Confédération ou d'un canton prononcée par une autorité compétente sera puni d'une peine privative de liberté de trois ans au plus ou d'une peine pécuniaire (al. 1). L'infraction de rupture de ban est intentionnelle, le dol éventuel étant suffisant. Il faut non seulement que l'auteur entre ou reste en Suisse volontairement, mais encore qu'il sache qu'il est expulsé ou accepte cette éventualité (arrêt du Tribunal fédéral 6B_624/2021 du 23 mars 2022 consid. 1.1).</w:t>
      </w:r>
    </w:p>
    <w:p>
      <w:r>
        <w:rPr>
          <w:b/>
        </w:rPr>
        <w:t>E. 2.2</w:t>
      </w:r>
    </w:p>
    <w:p>
      <w:r>
        <w:t>En l'espèce, les éléments objectifs de l'infraction de rupture de ban sont établis et non contestés. L'est en revanche l'élément subjectif. S'agissant des faits du 22 janvier 2024, les explications de l'appelant n'emportent largement pas conviction. Comme relevé par le MP, l'appelant ne pouvait pas ne pas avoir constaté qu'il était entré en Suisse, au vu des différences visuelles entre la France et la Suisse, à commencer par la couleur des panneaux, mais également des plaques d'immatriculation des véhicules stationnés ou encore des caractéristiques des différents aménagements nécessairement croisés (feux de circulation, marquage au sol pour la circulation, arrêts de trams ou gare, etc.). Les CHF trouvés ou encore la carte bancaire de la J______ devaient aussi alerter. L'appelant a d'ailleurs fini par concéder avoir pris conscience de ce qu'il se trouvait en Suisse, précisant opportunément l'avoir fait vers 3h00 du matin, au moment où il s'était décidé à quitter le territoire. Il est pourtant rappelé que le second cambriolage, non contesté en appel, a été commis plus tard. Il doit ainsi être retenu que l'appelant est entré intentionnellement sur territoire suisse, à tout le moins par dol éventuel. S'agissant du 28 mai 2024, les explications de l'appelant quant à sa négligence et à son endormissement n'emportent pas non plus conviction. Elles reposent essentiellement sur le fait qu'il résidait en Allemagne au bénéfice d'une demande d'asile qui aurait été acceptée, pays dans lequel il bénéficiait de cours de langue et avait une fiancée. Il n'a produit aucun document pour étayer ces explications et aucune fiancée n'apparaît comme ayant demandé une visite ou fait l'objet d'une demande de téléphone depuis la prison. En réalité, le seul document figurant au dossier est un document allemand attestant de son entrée dans ce pays, largement échu au 28 mai 2024. Après son contrôle par la police des frontières allemande, il a fait l'objet d'une interdiction d'entrée dans ce pays, qui n'aurait pas été prononcée s'il y disposait d'un statut de réfugié voire même de requérant d'asile. L'intéressé n'ayant pas payé son billet de train, il est impossible de déterminer s'il a bien pris le train dont l'horaire a été produit par la défense devant le TP, même si l'heure de son contrôle (12h30) dans un train en direction de l'Allemagne semble peu compatible. Quoiqu'il en soit, la réalité même du trajet entre U______ et T______ n'est pas établie. Le serait-elle que, comme relevé par le TP, l'appelant se trouvait en zone frontalière et devait ainsi redoubler de prudence et prendre toutes les précautions utiles pour ne pas franchir la frontière suisse, en particulier pour ne pas s'endormir. Il a ainsi à tout le moins pris le risque de pénétrer en Suisse et s'en est accommodé. Le verdict de culpabilité pour les deux ruptures de ban sera dès lors confirmé.</w:t>
      </w:r>
    </w:p>
    <w:p>
      <w:r>
        <w:rPr>
          <w:b/>
        </w:rPr>
        <w:t>E. 3</w:t>
      </w:r>
    </w:p>
    <w:p>
      <w:r>
        <w:t>3.1.1. L'infraction de vol (art 139 CP) est punie d'une peine privative de liberté de cinq ans au plus ou d'une peine pécuniaire ; celles de dommages à la propriété (art. 144 CP), de violation de domicile (art. 186 CP) et de rupture de ban (art. 291 al. 1 CP) sont punies d'une peine privative de liberté de trois ans au plus ou d'une peine pécuniaire. 3.1.2.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3.1.3.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En l'espèce, l'appelant ne conteste pas, à juste titre, le genre de la peine prononcée. Il conclut cependant à une réduction de sa quotité, indépendamment des acquittements plaidés. L'appelant invoque à ce propos avoir agi, s'agissant des cambriolages, en raison de sa situation personnelle et financière extrêmement compliquée, soit pour assurer sa propre subsistance, et non par appât du gain. Il n'avait au demeurant jamais perçu une part du butin. Outre qu'il a également indiqué travailler comme chauffeur P______, ce qui laisse entendre qu'il avait été en mesure de trouver une source de revenus, il a de fait opté, quelles qu'en aient été les raisons, pour la commission d'infractions et non pour un travail, sinon déclaré, au moins qui n'aurait pas relevé du Code pénal. Sa situation personnelle explique peut-être dans une certaine mesure ses actes mais ne les justifie certainement pas et le mobile relève bien de la recherche d'un gain. Il estime par ailleurs avoir mis fin de lui-même à ses agissements puisqu'il était parti s'établir en Allemagne où ses besoins élémentaires étaient couverts. Comme déjà relevé, son statut en Allemagne n'est aucunement prouvé et les explications fournies sur son entrée en Suisse le 28 mai 2024 peu étayées. Quoiqu'il en soit, il a été arrêté au moment où il commettait une nouvelle infraction, de rupture de ban certes. Pour le surplus, le TP a retenu à juste titre, ce que l'appelant ne conteste pas, que le modus était amateur, la période pénale limitée et la prise de conscience entamée avec des regrets et excuses exprimés à plusieurs reprises. Il sera encore renvoyé au jugement entrepris (art. 82 al. 4 CPP), étant encore ajouté que les vols commis l'ont été dans des locaux d'habitation. Sur la base de ce qui précède, il doit être retenu que l'infraction abstraitement la plus grave est celle de vol (commise ici à deux reprises), qui justifie à elle seule trois mois de peine privative de liberté pour le premier vol, augmentée de deux mois (peine hypothétique de trois mois pour la deuxième occurrence). Cette peine doit encore être amplifiée de deux fois un mois (peine hypothétique de deux mois pour chaque occurrence) pour les dommages à la propriété et d'autant pour les violations de domicile (peine hypothétique de deux mois pour chaque occurrence), puis encore de deux fois deux mois (peine hypothétique de trois mois) pour les deux ruptures de ban, soit une peine supérieure à celle prononcée par le TP. La peine privative de liberté de dix mois prononcée sera donc confirmée (interdiction de la reformatio in pejus).</w:t>
      </w:r>
    </w:p>
    <w:p>
      <w:r>
        <w:rPr>
          <w:b/>
        </w:rPr>
        <w:t>E. 4</w:t>
      </w:r>
    </w:p>
    <w:p>
      <w:r>
        <w:t>Le principe de l'expulsion n'est pas contesté en appel, son prononcé est d'ailleurs conforme à l'art. 66a CP. L'appelant conteste en revanche l'inscription de cette expulsion dans le SIS.</w:t>
      </w:r>
    </w:p>
    <w:p>
      <w:r>
        <w:rPr>
          <w:b/>
        </w:rPr>
        <w:t>E. 4.1</w:t>
      </w:r>
    </w:p>
    <w:p>
      <w:r>
        <w:t>L'inscription de l'expulsion dans le SIS est prévue par l'art. 24 du règlement (UE) n°2018/1861 du Parlement européen et du Conseil du 28 novembre 2018 (Règlement SIS III ; applicable depuis le 7 mars 2023). L'art. 24 §1 let. a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ou administrative de non-admission et d'interdiction de séjour conformément à son droit national et émis un signalement national aux fins de non-admission et d'interdiction de séjour. Selon l'art. 24 § 2 let. a, une telle situation existe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Lorsque les conditions de l'art. 24 du Règlement SIS Frontières sont remplies, un signalement de non-admission doit être réalisé dans le SIS (en ce sens : ATF 147 IV 340 consid. 4.9 ; 146 IV 172 consid. 3.2.2 ; AARP/2/2024 du 13 décembre 2023 consid. 7.1).</w:t>
      </w:r>
    </w:p>
    <w:p>
      <w:r>
        <w:rPr>
          <w:b/>
        </w:rPr>
        <w:t>E. 4.2</w:t>
      </w:r>
    </w:p>
    <w:p>
      <w:r>
        <w:t>En l'espèce, l'appelant est condamné pour des infractions passibles d'une peine privative de liberté d'au moins un an. On se saurait considérer ces infractions comme mineures de sorte que l'appelant présente bien une "menace pour l'ordre public et la sécurité publique". S'il affirme souhaiter continuer à résider en Allemagne, il n'amène aucun élément tangible pour démontrer qu'il a, selon ses dires, déposé une demande d'asile qui avait reçu une réponse positive. Bien au contraire, l'interdiction d'entrée en Allemagne prononcée à son encontre laisse peu de place à une telle hypothèse. Le logement et le pécule qu'il allègue, de même que la fiancée dont il ne donne même pas le nom, ne sont confirmés par aucun début d'élément tangible. Dès lors, le signalement SIS prononcé par le premier juge ne paraît aucunement disproportionné et sera confirmé.</w:t>
      </w:r>
    </w:p>
    <w:p>
      <w:r>
        <w:rPr>
          <w:b/>
        </w:rPr>
        <w:t>E. 5</w:t>
      </w:r>
    </w:p>
    <w:p>
      <w:r>
        <w:t>L'appelant se trouvant en exécution anticipée de peine en date du 14 février 2025, il n'y a pas à statuer sur la question de sa détention.</w:t>
      </w:r>
    </w:p>
    <w:p>
      <w:r>
        <w:rPr>
          <w:b/>
        </w:rPr>
        <w:t>E. 6</w:t>
      </w:r>
    </w:p>
    <w:p>
      <w:r>
        <w:t>L'appelant, qui succombe, supportera les frais de la procédure envers l'État (art. 428 CPP). Les frais de première instance ne seront pas revus (art. 428 al. 3 CPP a contrario).</w:t>
      </w:r>
    </w:p>
    <w:p>
      <w:r>
        <w:rPr>
          <w:b/>
        </w:rPr>
        <w:t>E. 7</w:t>
      </w:r>
    </w:p>
    <w:p>
      <w:r>
        <w:t>Considéré globalement, l'état de frais produit par M e B______, défenseur d'office de l'appelant, satisfait les exigences légales et jurisprudentielles applicables . La rémunération de M e B______ sera partant arrêtée à CHF 1'945.80 correspondant à dix heures d'activité au tarif de CHF 150.-/heure plus la majoration forfaitaire de 20% [et l'équivalent de la TVA au taux de 8.1% en CHF 145.80]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