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P/4873/2025 vom 26. Mai 2025</w:t>
      </w:r>
    </w:p>
    <w:p>
      <w:r>
        <w:t>GE Cour de justice, 2025-05-26, FR</w:t>
      </w:r>
    </w:p>
    <w:p>
      <w:r>
        <w:rPr>
          <w:b/>
        </w:rPr>
        <w:t xml:space="preserve">Quelle: </w:t>
      </w:r>
      <w:r>
        <w:t>https://mcp.opencaselaw.ch/entscheid/ge_gerichte_P_4873_2025</w:t>
      </w:r>
    </w:p>
    <w:p>
      <w:r>
        <w:t>FR: GE_GERICHTE P/4873/2025 du 26 mai 2025</w:t>
      </w:r>
    </w:p>
    <w:p>
      <w:r>
        <w:t>IT: GE_GERICHTE P/4873/2025 del 26 maggio 2025</w:t>
      </w:r>
    </w:p>
    <w:p>
      <w:pPr>
        <w:pStyle w:val="Heading2"/>
      </w:pPr>
      <w:r>
        <w:t>Regeste</w:t>
      </w:r>
    </w:p>
    <w:p>
      <w:r>
        <w:t>DÉTENTION PROVISOIRE;SOUPÇON;RISQUE DE COLLUSION;PROPORTIONNALITÉ | CPP.80; CPP.221.al1.letb;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considère que, faute d'avoir été signée par la présidente du TMC, l'ordonnance querellée serait nulle et, partant, son maintien en détention illicite.</w:t>
      </w:r>
    </w:p>
    <w:p>
      <w:r>
        <w:rPr>
          <w:b/>
        </w:rPr>
        <w:t>E. 2.1</w:t>
      </w:r>
    </w:p>
    <w:p>
      <w:r>
        <w:t>Conformément à l'art. 80 CPP, les prononcés sont rendus par écrit et motivés. Ils sont signés par la direction de la procédure et par le préposé au procès-verbal et sont notifiés aux parties (al. 2). Seules les décisions et ordonnances simples d'instruction ne doivent pas nécessairement être rédigées séparément ni être motivées (al. 3). Les décisions relatives à la détention ou à l'exécution anticipée de peine ne sont pas des décisions et ordonnances simples d'instruction. Il n'est donc pas possible de renoncer à leur signature, étant précisé qu'il s'agit d'une exigence de validité dans l'intérêt de la sécurité juridique, la signature manuscrite confirmant l'exactitude formelle de l'expédition et sa conformité avec la décision prise par le tribunal (arrêts du Tribunal fédéral 1B_608/2011 du 10 novembre 2011 consid. 2.3 et 6B_1231/2015 du 31 mai 2016 consid. 1.2; ATF 131 V 483 consid. 2.3.3). Il découle toutefois des considérants de l'arrêt ATF 131 V 483 qu'une telle solution ne vise que les cas où la signature a été volontairement omise. Si une telle omission découle d'une inadvertance, un tel vice peut être corrigé par la remise ultérieure d'une copie signée (M. NIGGLI / M. HEER / H. WIPRÄCHTIGER (éds), Strafprozessordnung / Jugendstrafprozessordnung, Basler Kommentar StPO/JStPO , 3ème éd., Bâle 2023, n. 14 ad art. 80). Le Tribunal fédéral semble d'ailleurs partager cet avis puisque, dans deux des arrêts précités ( 1B_608/2011 et 6B_1231/2015 ), il avait annulé la décision querellée au motif que celle-ci n'avait pas été signée, comme le prévoyait l'art. 80 al. 2 CPP, et qu'aucun exemplaire signé n'avait été remis au recourant, même ultérieurement (M. NIGGLI / M. HEER / H. WIPRÄCHTIGER (éds), op. cit., n. 14 ad art. 80).</w:t>
      </w:r>
    </w:p>
    <w:p>
      <w:r>
        <w:rPr>
          <w:b/>
        </w:rPr>
        <w:t>E. 2.2</w:t>
      </w:r>
    </w:p>
    <w:p>
      <w:r>
        <w:t>En l'espèce, bien que l'exemplaire de l'ordonnance querellée destiné à la recourante n'eût dans un premier temps pas été signé, cette omission découle d'une simple inadvertance, étant à cet égard précisé que celui destiné au Ministère public comportait en effet bien la signature de la Présidente du TMC. Un tel oubli ne saurait dès lors entraîner la nullité de l'ordonnance précitée, ce d'autant qu'un nouvel exemplaire, dûment signé, a ultérieurement été remis au conseil de la recourante. Ces considérations scellent le sort de ce grief.</w:t>
      </w:r>
    </w:p>
    <w:p>
      <w:r>
        <w:rPr>
          <w:b/>
        </w:rPr>
        <w:t>E. 3</w:t>
      </w:r>
    </w:p>
    <w:p>
      <w:r>
        <w:t>La recourante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la recourante considère que les soupçons pesant contre elle sont insuffisants pour justifier la prolongation de sa détention provisoire au motif que si elle avait, certes, admis avoir loué des véhicules et contracté des abonnements de téléphonie au moyen d'un titre de séjour qui n'était pas le sien, elle avait, pour le surplus, contesté les autres faits reprochés, soutenant mordicus ne pas avoir eu connaissance de l'usage qui serait fait du véhicule – utilisé pour commettre les faits au préjudice de G______ et K______ –, ce que F______ avait d'ailleurs confirmé. Cet argument tombe à faux. S'agissant tout d'abord des faits survenus en janvier 2024, le 1 er février 2025, ainsi que les 5 et 7 mars 2025 – soit le vol du véhicule N______, suivi d'un plein d'essence sans bourse délier; la location frauduleuse du véhicule de marque S______ et l'obtention frauduleuse d'abonnements téléphoniques et de téléphones –, la recourante les a pour l'essentiel admis. De plus, son ADN a été retrouvé dans le véhicule précité, abandonné en janvier 2024, et les policiers l'ont formellement reconnue sur les images de vidéosurveillance des magasins de téléphonie. Quant aux escroqueries de type " Falsobanco ", s'il est vrai qu'elle a contesté toute participation et n'a pas été formellement mise en cause par l'un ou l'autre des protagonistes, il n'en demeure pas moins que les charges apparaissent, à ce stade de l'instruction, suffisantes et graves. La recourante a en effet admis avoir loué, le 13 février 2025, le véhicule de marque AB______ impliqué dans les faits commis au préjudice de G______ et K______. Le fait qu'elle ait déclaré ignorer l'usage qui en serait fait n'est pas de nature à amoindrir les soupçons pesant à son encontre, plus particulièrement eu égard à ses liens avec les prévenus – plus particulièrement AF______ et F______ – et à la proximité temporelle – un jour – entre le moment où le véhicule précité a été loué et celui où les prévenus sont soupçonnés d'avoir abusé de G______ et K______. Ces soupçons sont encore renforcés par la découverte, lors de la perquisition du local de musique et de l'appartement de AF______, de cartes bancaires liées à une affaire de " Falsobanco " et de quatre reçus de paris sportifs correspondant aux achats effectués avec la carte de K______. Au vu de ces éléments, d'une part, mais également de la connexité apparente entre les différents complexes de faits et des liens entre la recourante et les autres prévenus, d'autre part, les charges apparaissent en l'état suffisantes pour justifier la prolongation de sa détention provisoire.</w:t>
      </w:r>
    </w:p>
    <w:p>
      <w:r>
        <w:rPr>
          <w:b/>
        </w:rPr>
        <w:t>E. 4</w:t>
      </w:r>
    </w:p>
    <w:p>
      <w:r>
        <w:t>La recourante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bien que l'instruction n'en soit plus à ses balbutiements et que diverses audiences aient déjà eu lieu, d'autres audiences – y compris de confrontation – devront encore intervenir. En effet, des analyses de téléphones – susceptibles de révéler des éléments à charge, non seulement à l'encontre des prévenus déjà identifiés, mais également à l'encontre d'autres personnes potentiellement impliquées, notamment " Monsieur du Sud de la France " et " AO______ " – sont actuellement en cours. Une fois cette analyse terminée, le Ministère public devra tenir de nouvelles audiences, pour entendre les personnes qui ne l'auraient pas encore été et identifiées dans l'intervalle, et afin de confronter les personnes déjà prévenues – parmi lesquelles, notamment, la recourante, AF______ et F______ – sur les éléments que l'analyse précitée aura permis de révéler. Il est à cet égard primordial que la recourante ne puisse entrer en contact, ni avec ses coprévenus, qu'ils soient actuellement détenus ou non, ni avec d'autres personnes impliquées et qui n'auraient pas encore été identifiées. En l'état, les soupçons pesant à l'encontre de la recourante sont suffisants, de sorte que ses dénégations ne sauraient annihiler le risque de collusion, lequel apparait très élevé à ce stade de l'instruction. C'est donc à bon droit que le TMC a retenu l'existence d'un tel risque.</w:t>
      </w:r>
    </w:p>
    <w:p>
      <w:r>
        <w:rPr>
          <w:b/>
        </w:rPr>
        <w:t>E. 5</w:t>
      </w:r>
    </w:p>
    <w:p>
      <w:r>
        <w:t>La recourante propose, à titre de mesure de substitution, une interdiction de contact pour pallier le risque précité.</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L'interdiction d'entrer en contact au sens de l'art. 237 al. 2 let. g CPP ne peut en principe porter que sur des personnes déterminées (arrêts 1B_485/2019 du 12 novembre 2019 consid. 3.4.2; 1B_121/2019 du 8 avril 2019 consid. 4.4).</w:t>
      </w:r>
    </w:p>
    <w:p>
      <w:r>
        <w:rPr>
          <w:b/>
        </w:rPr>
        <w:t>E. 5.3</w:t>
      </w:r>
    </w:p>
    <w:p>
      <w:r>
        <w:t>En l'occurrence, le risque de collusion, très élevé à ce stade de l'instruction, ne saurait être pallié par la mesure de substitution proposée par la recourante, ni pas aucune autre d'ailleurs. Quand bien même une telle mesure serait mise en œuvre, il est à craindre, en cas de mise en liberté, que la recourante ne tente de contacter ses coprévenus, voire d'autres personnes susceptibles d'être impliquées, afin de tenter d'influencer leurs déclarations, de s'accorder sur une version commune, voire de les prévenir, mettant ainsi en péril l'administration des preuves à venir. S'agissant d'une interdiction de contact vis-à-vis de ces autres personnes, elle n'est de toute façon pas envisageable, dans la mesure où celles-ci n'ont pas encore été identifiées à ce jour. Aucune autre mesure de substitution n'est concevable et la recourante n'en propose au demeurant pas.</w:t>
      </w:r>
    </w:p>
    <w:p>
      <w:r>
        <w:rPr>
          <w:b/>
        </w:rPr>
        <w:t>E. 6</w:t>
      </w:r>
    </w:p>
    <w:p>
      <w:r>
        <w:t>La recourante semble se plaindre d'une inégalité de traitement, affirmant que C______ et D______ avaient été libérés au terme de leur audition en qualité de prévenus, alors que leurs déclarations présentaient de fortes divergences et qu'aucune mesure visant à prévenir le risque de collusion n'avait été prise à leur encontre. Il en allait de même de F______, précédemment détenu, qui avait lui aussi été remis en liberté. La recourante ne saurait toutefois se prévaloir du principe de l'égalité de traitement à cet égard, étant précisé qu'à teneur de la jurisprudence (arrêt du Tribunal fédéral 7B_1009/2023 du 6 février 2024 consid. 6.4), un justiciable ne peut généralement pas se prétendre victime d'une inégalité devant la loi lorsque celle-ci est correctement appliquée à son cas, alors qu'elle aurait été faussement, voire pas appliquée du tout, dans d'autres cas. Même à supposer que ses coprévenus aient été remis en liberté à tort, elle ne pourrait s'en prévaloir, dès lors qu'elle ne remplit pas les conditions pour bénéficier de mesures de substitution en raison du risque de collusion élevé (cf supra consid. 5.3).</w:t>
      </w:r>
    </w:p>
    <w:p>
      <w:r>
        <w:rPr>
          <w:b/>
        </w:rPr>
        <w:t>E. 7</w:t>
      </w:r>
    </w:p>
    <w:p>
      <w:r>
        <w:t>La recourante demande, subsidiairement, que la prolongation de sa détention provisoire n'excède pas un mois.</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la durée de la détention provisoire ordonnée ne viole pas le principe de la proportionnalité, au vu de la peine concrètement encourue si la recourante devait être reconnue coupable des faits reprochés, étant rappelé que l'éventualité d'un sursis n'a pas à être prise en compte. La durée de deux mois est nécessaire à l'accomplissement des divers actes d'instruction en cours, étant précisé, comme déjà relevé par le premier juge, que certains d'entre eux, notamment les analyses de téléphones, sont très chronophages.</w:t>
      </w:r>
    </w:p>
    <w:p>
      <w:r>
        <w:rPr>
          <w:b/>
        </w:rPr>
        <w:t>E. 8</w:t>
      </w:r>
    </w:p>
    <w:p>
      <w:r>
        <w:t>Le recours s'avère ainsi infondé et doit être rejeté.</w:t>
      </w:r>
    </w:p>
    <w:p>
      <w:r>
        <w:rPr>
          <w:b/>
        </w:rPr>
        <w:t>E. 9</w:t>
      </w:r>
    </w:p>
    <w:p>
      <w:r>
        <w:t>La recourante,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La recourante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la recourante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