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P/4867/2012 vom 4. Juli 2014</w:t>
      </w:r>
    </w:p>
    <w:p>
      <w:r>
        <w:t>GE Cour de justice, 2014-07-04, FR</w:t>
      </w:r>
    </w:p>
    <w:p>
      <w:r>
        <w:rPr>
          <w:b/>
        </w:rPr>
        <w:t xml:space="preserve">Quelle: </w:t>
      </w:r>
      <w:r>
        <w:t>https://mcp.opencaselaw.ch/entscheid/ge_gerichte_P_4867_2012</w:t>
      </w:r>
    </w:p>
    <w:p>
      <w:r>
        <w:t>FR: GE_GERICHTE P/4867/2012 du 4 juillet 2014</w:t>
      </w:r>
    </w:p>
    <w:p>
      <w:r>
        <w:t>IT: GE_GERICHTE P/4867/2012 del 4 luglio 2014</w:t>
      </w:r>
    </w:p>
    <w:p>
      <w:pPr>
        <w:pStyle w:val="Heading2"/>
      </w:pPr>
      <w:r>
        <w:t>Regeste</w:t>
      </w:r>
    </w:p>
    <w:p>
      <w:r>
        <w:t>VIOLENCE CONTRE LES AUTORITÉS; MENACE(DROIT PÉNAL); FIXATION DE LA PEINE; CONCOURS D'INFRACTIONS; ATTÉNUATION DE LA PEINE; RESPONSABILITÉ(DROIT PÉNAL); RÉVOCATION DU SURSIS ; THÉRAPIE ; INDEMNITÉ(EN GÉNÉRAL); TORT MORAL ; CONFISCATION(DROIT PÉNAL) ; RESTITUTION(EN GÉNÉRAL) | CP.285; CP.180.1; CP.47; CP.19.2; CP.46.1; CP.56.1; CP.59.1; CP.59.2; CP.69; CO.49; CPP.136.2.B; CPP.433.1.A</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(S. HEIMGARTNER, Strafrecht II, Basler Kommentar , 2 e éd., 2007, n. 5 ad art. 285 CP ; B. CORBOZ, Les infractions en droit suisse , vol. II, 2010, n. 9 ad art. 285 CP). L'art. 285 CP n'exige pas que l'auteur essaie d'empêcher l'acte officiel par les voies de fait. Il peut s'agir d'une pure réaction de colère, sans aucun espoir de modifier le cours des événements (B. CORBOZ, op. cit. , vol. II, n. 17 ad art. 285 CP; S. TRECHSEL, Schweizerisches Strafgesetzbuch : Praxiskommentar, Zurich/Saint-Gall 2008, n. 8 ad art. 285 CP). Par violence, on entend ordinairement une action physique de l'auteur sur la personne du fonctionnaire. L'usage de la violence doit revêtir une certaine gravité ; une petite bousculade ne saurait suffire (B. CORBOZ, op. cit. , vol I, n. 4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Enfin, la violence doit atteindre le fonctionnaire, mais non un tiers (S. HEIMGARTNER, op. cit. , n. 9 ad art. 285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vol. II, n. 11 ad art. 285 CP).</w:t>
      </w:r>
    </w:p>
    <w:p>
      <w:r>
        <w:rPr>
          <w:b/>
        </w:rPr>
        <w:t>E. 2.3</w:t>
      </w:r>
    </w:p>
    <w:p>
      <w:r>
        <w:t>L'art. 180 al. 1 CP réprime le comportement de celui qui, par une menace grave, aura alarmé ou effrayé une personne (al. 1).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L'exigence d'une menace grave doit conduire à exclure la punissabilité lorsque le préjudice évoqué apparaît objectivement d'une importance trop limitée pour justifier la répression pénale (B. CORBOZ, op. cit., n. 9 ad art. 180 CP). D'autre part, il faut que la victime ait été effectivement alarmée ou effrayée. Elle doit craindre que le préjudice annoncé se réalise. L'infraction est intentionnelle, le dol éventuel étant suffisant (arrêt du Tribunal fédéral 6B_307/2013 du 13 juin 2013 consid. 5.1). 2.4.1 La violence ou les menaces à l'égard des forces de l'ordre est avérée, la déposition des gendarmes visés par les actes de l'appelant principal ne laissant pas de place à une autre approche. Il y a eu tant des menaces claires et précises que des actes de violence, tel le coup de poing adressé à l'un des inspecteurs. L'appelant principal ne voulait pas que les forces de l'ordre procèdent à sa fouille et à la perquisition de son logement. Il a expressément admis devant le Ministère public s'être opposé aux forces de l'ordre et les avoir menacées, notamment en voulant donner un coup de poing à l'un des inspecteurs présents. Sa culpabilité sur ce point sera donc confirmée. 2.4.2 Il en va de même pour les menaces proférées à l'encontre de l'intimée et appelante jointe. Les propos relayés par la doctoresse venue au domicile du prévenu ne laissent la place à aucune équivoque sur la nature de ses intentions, ce d'autant que les menaces se sont accompagnées de la présentation des moyens dont il disposait pour les mettre à exécution. Les policiers présents n'ont d'ailleurs pas entendu autre chose. Si les menaces n'avaient pas été jugées sérieuses, le médecin n'aurait pas alerté la police au risque de s'attirer les foudres de son patient. L'appelant principal ne nie pas avec beaucoup de conviction la réalité des menaces proférées, sinon qu'il prend soin de les situer dans le contexte d'une consommation médicamenteuse abusive. Les menaces reprochées s'inscrivent dans un état de détresse décrit qui impliquait que l'appelant principal se fasse remarquer pour être entendu. Ses objections tendant à nier la réalisation d'une infraction par le fait de menaces seulement indirectes ne sont juridiquement pas relevantes. Le principal est qu'il n'y a pas de raison de douter de ce que l'intimée a été effrayée quand elle a appris la teneur des propos tenus, étant rappelé que d'autres actes ou propos menaçants étaient préexistants et avaient pu déjà faire naître chez elle une fragilité ou un état propice à la peur. La lecture du dossier n'a fait qu'augmenter cette frayeur, tant il en résulte que l'appelant était obnubilé par l'intimée et qu'il disposait d'armes. La culpabilité de l'appelant principal sera ainsi entièrement confirmée.</w:t>
      </w:r>
    </w:p>
    <w:p>
      <w:r>
        <w:rPr>
          <w:b/>
        </w:rPr>
        <w:t>E. 3</w:t>
      </w:r>
    </w:p>
    <w:p>
      <w:r>
        <w:t>.1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faute.![endif]&gt;![if&gt;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 (ATF 121 IV 202 consid. 2d/aa p. 204 ; 118 IV 342 consid. 2d p. 349). D'après l'art. 49 al. 1 CP, si, en raison d'un ou de plusieurs actes, l'auteur remplit les conditions de plusieurs peines de même genre, le juge le condamne à la peine de l'infraction la plus grave et l'augmente dans une juste proportion.</w:t>
      </w:r>
    </w:p>
    <w:p>
      <w:r>
        <w:rPr>
          <w:b/>
        </w:rPr>
        <w:t>E. 3.2</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Les antécédents judiciaires ne sauraient toutefois conduire à une augmentation massive de la peine, parce que cela reviendrait à condamner une deuxième fois pour des actes déjà jugés (ATF 120 IV 136 consid. 3b p. 145).</w:t>
      </w:r>
    </w:p>
    <w:p>
      <w:r>
        <w:rPr>
          <w:b/>
        </w:rPr>
        <w:t>E. 3.3</w:t>
      </w:r>
    </w:p>
    <w:p>
      <w:r>
        <w:t>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 (arrêts du Tribunal fédéral 6B_741/2010 du 9 novembre 2010 consid. 3.1.2 et 6B_1092/2009 du 22 juin 2010 consid. 2.2.2).</w:t>
      </w:r>
    </w:p>
    <w:p>
      <w:r>
        <w:rPr>
          <w:b/>
        </w:rPr>
        <w:t>E. 3.4</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Il peut adresser au condamné un avertissement et prolonger le délai d'épreuve (…)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S'il révoque le sursis, le juge peut modifier le genre de la peine révoquée pour fixer, avec la nouvelle peine, une peine d'ensemble conformément à l'art. 49 CP. Il ne peut toutefois prononcer une peine privative de liberté ferme que si la peine d'ensemble atteint une durée de 6 mois au moins ou si les conditions prévues à l'art. 41 CP sont remplies ( cf . art. 46 al. 1 CP). La conversion d'une peine pécuniaire (…) en une peine privative de liberté n'est envisageable qu'à titre d' ultima ratio du fait qu'une telle conversion implique une aggravation du genre de peine (ATF 137 IV 249 consid. 3.4.3 p. 254 et les références citées ; M. NIGGLI / H. WIPRÄCHTIGER, op. cit., n. 30 ad art. 46 CP ; G. STRATENWERTH, Schweizerisches Strafrecht, AT II, Strafen und Massnahmen , 2 e éd., Berne 2006, § 5 n. 96 p. 164).</w:t>
      </w:r>
    </w:p>
    <w:p>
      <w:r>
        <w:rPr>
          <w:b/>
        </w:rPr>
        <w:t>E. 3.5</w:t>
      </w:r>
    </w:p>
    <w:p>
      <w:r>
        <w:t>Il est juste de reprocher à l'appelant principal un comportement inadmissible qui dénote un manque de respect flagrant pour toute personne dont les actes ne s'accordent pas avec la teneur de son raisonnement ou de ses convictions, fussent-elles altérées par le trouble de la personnalité dont il souffre. Sa faute est importante, ne serait-ce que parce que les forces de l'ordre n'ont pas vocation à être entravées dans leurs actes ni à se voir menacées, pas plus qu'une personne pour laquelle l'appelant principal dit éprouver des sentiments amoureux. Le fait que l'auteur se soit ensuite prévalu du fait que ses destinataires n'avaient pas à prendre ses menaces au sérieux ne saurait constituer un facteur de réduction de la gravité de ses actes. Il y a récidive et concours réel d'infractions, ce qui entraîne une aggravation de la peine, ce d'autant que l'antécédent est spécifique, qui plus est avec la même victime. La fixation dont celle-ci fait l'objet est proprement intolérable et il est impératif que l'appelant principal s'imprègne de cette réalité. Le facteur de gravité de la faute est cependant altéré par une responsabilité moyennement diminuée comme l'a retenue l'experte, sans que son appréciation ne soit contestée. Tout en qualifiant la faute de l'appelant principal de "pas légère", le premier juge a fixé la peine à neuf mois de peine privative de liberté, qui comprend la révocation d'un sursis antérieur. Ce verdict semble exagérément sévère, en particulier au regard de l'acquittement dont l'appelant principal a bénéficié pour le délit le plus grave (peine-menace de cinq ans). L'acquittement prononcé a pour effet que l'appréciation de la faute ne peut plus se fonder sur l'ensemble des faits pour lesquels la mise en prévention avait été ordonnée (existence de bidons d'essence, présence de chlorate de soude, intérêt porté aux faits divers sanglants ou aux armes). Or, la faute fût-elle importante, il y a lieu de sanctionner le comportement coupable de l'appelant principal pour les seuls actes pour lesquels sa culpabilité a été retenue, étant rappelé que la juridiction d'appel n'est pas habilitée à se prononcer sur la réalisation des éléments constitutifs de l'art. 260bis CP faute d'appel du Ministère public. Ce dernier avait requis en première instance, pour l'ensemble des faits reprochés, une peine de douze mois de privation de liberté, incluant la révocation du sursis antérieur. En tenant compte de l'ensemble des circonstances, notamment d'une faute dont la gravité objective est tempérée par une responsabilité moyennement diminuée, la peine infligée par les premiers juges est excessive. Une peine de six mois de privation de liberté paraît plus conforme à l'ensemble des paramètres à prendre en considération. Elle sera prononcée sans sursis, eu égard à la récidive spécifique et au risque de réitération relevé par l'expert. Un pronostic favorable apparaît prématuré, même s'il convient de tenir compte d'éléments plus positifs. En revanche, même si des éléments militent en faveur de la révocation du sursis antérieur, notamment le fait que les deux infractions sont ressemblantes et que la victime de la tentative de contrainte (première condamnation de 2011) et des menaces (présente cause) est la même, d'autres facteurs doivent être mis en exergue. En premier lieu, il y a le respect par l'appelant principal des règles de conduite imposées par le premier juge, après plusieurs mois d'atermoiements. L'intimée vit dans la crainte mais ne soutient pas avoir dû supporter une reprise récente de contact non souhaitée. L'autre élément significatif est le suivi régulier de la thérapie par l'appelant principal, contrairement à ce qui s'était passé à sa sortie de prison. Ce suivi régulier s'accompagne d'entretiens tout autant réguliers auprès du SPI, le Ministère public ayant pris soin d'exonérer l'appelant principal de toute faute dans l'interruption récente et momentanée du suivi. Si on ajoute à ce qui précède le degré d'exigence posé par la doctrine, on ne se trouve pas dans un cas où il faille user d'un moyen coercitif à titre d' ultima ratio, ce d'autant moins que l'effet préventif de la peine ferme prononcée à titre principal doit être pris en compte dans l'appréciation globale du pronostic. Il s'ensuit que le jugement de première instance sera modifié, en ce sens que le prévenu sera condamné à six mois de peine privative de liberté et qu'il sera renoncé à la révocation du sursis antérieur.</w:t>
      </w:r>
    </w:p>
    <w:p>
      <w:r>
        <w:rPr>
          <w:b/>
        </w:rPr>
        <w:t>E. 4.1</w:t>
      </w:r>
    </w:p>
    <w:p>
      <w:r>
        <w:t>Selon l'art. 56 al. 1 CP, une mesure doit être ordonnée (…)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Selon l'art. 59 al. 1 CP, lorsque l'auteur souffre d'un grave trouble mental, le juge peut ordonner un traitement institutionnel si l'auteur a commis un crime ou un délit en relation avec ce trouble et s'il est à prévoir que cette mesure le détournera de nouvelles infractions en relation avec ce trouble.![endif]&gt;![if&gt; Si la peine n’est pas compatible avec le traitement, le juge peut suspendre, au profit d’un traitement ambulatoire, l’exécution d’une peine privative de liberté ferme prononcée en même temps que le traitement ou l’exécution d’une peine privative de liberté devenue exécutoire à la suite de la révocation du sursis et l’exécution du solde de la peine devenu exécutoire en raison d’une décision de réintégration (al. 2). La suspension de la peine revêt toutefois un caractère exceptionnel. Cela ressort du principe de subsidiarité des mesures, prévu par l’art. 56 al. 1 lit. a CP. Ainsi, chaque fois qu’une peine est apte, seule, à prévenir une nouvelle infraction, elle doit être ordonnée. Un traitement ambulatoire, et la suspension éventuelle de l’exécution de la peine, nécessitent une justification particulière (arrêt du Tribunal fédéral 6B_282/2007 du 5 octobre 2007 consid. 4.2 avec référence à l’ATF 129 IV 161 consid. 4.1 p. 162-163 et 4.3 p. 165).</w:t>
      </w:r>
    </w:p>
    <w:p>
      <w:r>
        <w:rPr>
          <w:b/>
        </w:rPr>
        <w:t>E. 4.2</w:t>
      </w:r>
    </w:p>
    <w:p>
      <w:r>
        <w:t>Le premier juge a suspendu la peine au profit d'un traitement ambulatoire en assortissant la mesure de règles de conduite. De manière paradoxale, le Tribunal de police a admis ce que conteste l'appelant principal en appel, alors même que le défaut d'appel du Ministère public laisse à penser que ce dernier s'est accommodé de la décision prise. L'appelant principal a été libéré préventivement, sous plusieurs conditions dont celles liées à un suivi thérapeutique régulier. Il ne s'est pas toujours montré respectueux des règles imposées, loin s'en faut. Sa prise de conscience de la nécessité d'un suivi, même liée à la procédure pénale en cours, se doit d'être prise en compte et encouragée. Un retour en milieu carcéral pourrait être ressenti comme une sanction sans autre but que l'enfermement, laissant dans l'ombre les effets thérapeutiques susceptibles d'y être attachés. En l'espèce, le traitement actuel et le lien thérapeutique construit ne sauraient se poursuivre dans un milieu fermé. Au regard de ce qui précède, il se justifie de déroger à la règle et de confirmer le jugement du Tribunal de police sur ce point, ce d'autant que la suspension de la peine n'a pas été combattue en appel par le Ministère public. Les règles de conduite se justifient pleinement, dans la mesure où elles représentent un garde-fou indispensable pour l'amélioration du comportement du prévenu et, par voie de conséquence, pour limiter de façon drastique les risques de récidive.</w:t>
      </w:r>
    </w:p>
    <w:p>
      <w:r>
        <w:rPr>
          <w:b/>
        </w:rPr>
        <w:t>E. 5.1</w:t>
      </w:r>
    </w:p>
    <w:p>
      <w:r>
        <w:t>Selon l'art. 41 al. 1 de la loi fédérale du 30 mars 1911, complétant le Code civil suisse (CO, Code des obligations ; RS 220), celui qui cause, d’une manière illicite, un dommage à autrui, soit intentionnellement, soit par négligence ou imprudence, est tenu de le réparer. L'art. 49 CO prévoit en outre que celui qui subit une atteinte illicite à sa personnalité a droit à une somme d’argent à titre de réparation morale, pour autant que la gravité de l’atteinte le justifie et que l’auteur ne lui ait pas donné satisfaction autrement. ![endif]&gt;![if&gt; L'atteinte grave à la personnalité est une notion juridique indéterminée que le juge doit apprécier dans chaque cas d'espèce. L'allocation d'une indemnité pour tort moral suppose qu'elle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A défaut, aucune indemnisation ne peut être accordée (arrêt du Tribunal fédéral 6B_400/2008 du 7 octobre 2008 consid. 6.1). L'ampleur de la réparation morale dépend avant tout de la gravité des souffrances physiques et psychiques consécutives à l'atteinte subie et de la possibilité d'adoucir sensiblement, par le versement d'une somme d'argent, la douleur morale qui en résulte (…) (ATF 125 III 269 consid. 2a p. 273 ; ATF 118 II 410 consid. 2 p. 413 ; arrêt du Tribunal fédéral 6S.470/2002 ).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 consid. 3a ; ATF 120 II 97 , consid. 2b p. 98 s).</w:t>
      </w:r>
    </w:p>
    <w:p>
      <w:r>
        <w:rPr>
          <w:b/>
        </w:rPr>
        <w:t>E. 5.2</w:t>
      </w:r>
    </w:p>
    <w:p>
      <w:r>
        <w:t>Le tort moral sollicité par l'appelante jointe n'est pas documenté. La seule donnée médicale produite se réfère à une dispense pour se présenter personnellement aux débats de première instance, et encore le certificat médical est-il succinct et ancien. Même si la partie plaignante n'a plus subi de violences, il n'en reste pas moins que les effets du harcèlement et la peur ressentie persistent. C'est d'autant plus le cas que l'auteur s'en est déjà pris à elle dans le passé, ce qui est de nature à augmenter les craintes qu'elle a pu légitimement éprouver. Il est ainsi admis que l'intensité de sa souffrance est suffisante pour que le doit à une indemnité lui soit acquis. En revanche, l'absence de faits concrets et documentés, qui auraient pu être attestés par un certificat médical récent, fait que la partie plaignante ne peut être suivie dans ses conclusions en tort moral. Prima facie, elle n'a pas consulté de médecin et elle a repris une activité professionnelle, ce qui ne va pas dans le sens d'une aggravation de ses souffrances psychiques. Le contraire n'a, à tout le moins, pas été établi. L'appelante jointe sera donc déboutée de sa requête insuffisamment motivée, à l'instar de l'appelant principal dont les conclusions seront aussi rejetées sur ce point.</w:t>
      </w:r>
    </w:p>
    <w:p>
      <w:r>
        <w:rPr>
          <w:b/>
        </w:rPr>
        <w:t>E. 6.1</w:t>
      </w:r>
    </w:p>
    <w:p>
      <w:r>
        <w:t>En vertu de l'art. 433 al. 1 let. a CPP, si elle obtient gain de cause, la partie plaignante peut demander au prévenu une juste indemnité pour les dépenses obligatoires occasionnées par la procédure, mais il lui appartient de les chiffrer et de les justifier (al. 2). Selon la jurisprudence, si, dans les cas juridiquement simples, l'activité de l'avocat doit se limiter au minimum, soit tout au plus à une simple consultation, il convient en revanche de considérer, dans les cas de crimes ou de délits, que le recours à un avocat ne peut qu'exceptionnellement être considéré comme un exercice non raisonnable des droits d'une partie au sens de l'art. 429 al. 1 let. a CPP (ATF 138 IV 197 consid. 2.3.5 p. 203 s), ce qui doit valoir aussi sous l'angle de l'art. 433 al. 1 let. a CPP.![endif]&gt;![if&gt;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6B_965/2013 du 3 décembre 2013 consid. 3.1.2 ; S. WEHRENBERG/ I. BERNHARD, Basler Kommentar StPO , Bâle 2011, n. 12 ad art. 433 CPP ; N. SCHMID, Schweizerische Strafprozessordnung, Praxiskommentar , 2 e éd. Zürich 2013, n. 9 et 10 ad art. 433 CPP; A. KUHN / Y. JEANNERET (éds), Commentaire romand : Code de procédure pénale suisse , Bâle 2011, n. 13 ad . art. 433).</w:t>
      </w:r>
    </w:p>
    <w:p>
      <w:r>
        <w:rPr>
          <w:b/>
        </w:rPr>
        <w:t>E. 6.2</w:t>
      </w:r>
    </w:p>
    <w:p>
      <w:r>
        <w:t>L'intimée et appelante jointe a produit une note d'honoraires se chiffrant à CHF 1'800.-. Les quatre heures d'activité, pour la période limitée à la semaine précédant l'audience d'appel, doivent être tenues pour conformes aux besoins, le taux horaire de CHF 450.– se situant dans la fourchette supérieure du tarif usuel pour un avocat associé. Il convient toutefois de tenir compte du fait que la partie plaignante, qui obtient pleinement gain de cause sur le volet pénal de la procédure, succombe sur le plan civil, ses prétentions supplémentaires en indemnisation fondées sur l'art. 49 CO ayant été rejetées. Le montant des honoraires à la charge du prévenu sera ainsi ramené à CHF 1'200.-, ce qui correspond aux deux tiers du montant initial des honoraires.</w:t>
      </w:r>
    </w:p>
    <w:p>
      <w:r>
        <w:rPr>
          <w:b/>
        </w:rPr>
        <w:t>E. 7.1</w:t>
      </w:r>
    </w:p>
    <w:p>
      <w:r>
        <w:t>L'appelant principal conclut à ce que l'intimée soit condamnée à lui payer la somme de CHF 31'500.-, correspondant à ses honoraires d'avocat pour la procédure avant l'appel (art. 429 al. 1 let. a CPP).![endif]&gt;![if&gt; L'art. 429 CPP n'est pas applicable au cas d'espèce, dès lors que l'indemnisation prévue par cette disposition pénale n'est prévue qu'en cas d'acquittement, fût-il partiel, ce qui n'est pas le cas en l'espèce. L'appelant principal sera ainsi débouté de ses prétentions sur ce point.</w:t>
      </w:r>
    </w:p>
    <w:p>
      <w:r>
        <w:rPr>
          <w:b/>
        </w:rPr>
        <w:t>E. 7.2</w:t>
      </w:r>
    </w:p>
    <w:p>
      <w:r>
        <w:t>L'appelant principal conclut au paiement de CHF 8'000.- pour le dommage matériel subi. L'objection formulée supra (ch. 7.1) vaut pour cette revendication, l'art. 429 al. 1 let. b CPP n'étant pas applicable par identité de motifs.</w:t>
      </w:r>
    </w:p>
    <w:p>
      <w:r>
        <w:rPr>
          <w:b/>
        </w:rPr>
        <w:t>E. 7.3</w:t>
      </w:r>
    </w:p>
    <w:p>
      <w:r>
        <w:t>Le même raisonnement peut être repris mutatis mutandis pour les conclusions de l'appelant principal tendant à son indemnisation pour les jours de détention illicite. Le prévenu n'a pas été acquitté et, au surplus, il est condamné à l'équivalent de 180 jours de privation de liberté, peine supérieure aux 164 jours de détention avant jugement.</w:t>
      </w:r>
    </w:p>
    <w:p>
      <w:r>
        <w:rPr>
          <w:b/>
        </w:rPr>
        <w:t>E. 7.4</w:t>
      </w:r>
    </w:p>
    <w:p>
      <w:r>
        <w:t>En l'absence d'acquittement, l'appelant principal sera ainsi débouté de l'entier de ses conclusions en indemnisation.</w:t>
      </w:r>
    </w:p>
    <w:p>
      <w:r>
        <w:rPr>
          <w:b/>
        </w:rPr>
        <w:t>E. 8</w:t>
      </w:r>
    </w:p>
    <w:p>
      <w:r>
        <w:t>Dans une dernière revendication, l'appelant principal conclut à la "restitution de tous les objets lui appartenant". Durant les débats d'appel, il a repris cette conclusion, en précisant qu'elle concernait aussi les journaux saisis. ![endif]&gt;![if&gt;</w:t>
      </w:r>
    </w:p>
    <w:p>
      <w:r>
        <w:rPr>
          <w:b/>
        </w:rPr>
        <w:t>E. 8.1</w:t>
      </w:r>
    </w:p>
    <w:p>
      <w:r>
        <w:t>Au sens de l'art. 69 CP, les objets susceptibles d'être confisqués sont soit des instrumenta sceleris , à savoir des objets qui ont servi ou devaient servir à commettre une infraction, soit des producta sceleris , c'est-à-dire des objets qui sont le produit de l'infraction (M. VOUILLOZ, "Le nouveau droit suisse de la confiscation pénale et de la créance compensatrice, art. 69 à 73 CP", PJA 2007 p. 1379). La confiscation ne peut porter que sur des objets corporels matériels, que cela soit des choses mobilières ou des immeubles (M. VOUILLOZ, op. cit ., PJA 2007 p. 1380). 70.1. La confiscation d'objets ou de valeurs patrimoniales ne constitue pas une sanction in personam , mais une mesure réelle ( in rem ), dont le but premier consiste à éviter le maintien d'un avantage consécutif à un acte pénalement punissable (G. STRATENWERTH, op. cit., § 13, n. 86 ; M. VOUILLOZ, op. cit., p. 1388 et 1391). Dès lors qu'il s'agit d'une mesure qui porte gravement atteinte à la propriété, elle doit respecter le principe de la proportionnalité (ATF 125 IV 185 consid. 2a) p. 187 ; ATF 116 IV 117 consid. 2a) p. 121).</w:t>
      </w:r>
    </w:p>
    <w:p>
      <w:r>
        <w:rPr>
          <w:b/>
        </w:rPr>
        <w:t>E. 8.2</w:t>
      </w:r>
    </w:p>
    <w:p>
      <w:r>
        <w:t>A prendre connaissance des inventaires concernés, une partie des objets saisis a fait l'objet d'une restitution au prévenu (pièces portant ch. 3 [carte mémoire], 21 [appareil photo] et 30 [ordinateur portable] de l'inventaire n° 1 du 6 juillet 2012 et disque dur [ch. 4 de l'inventaire n° 2 du 9 avril 2012]), en sus de ceux dont la restitution a été ordonnée par le premier juge et exécutée par la présidence de la juridiction d'appel. La conclusion de l'appelant principal en appel ne saurait être suivie, sa demande n'étant pas suffisamment détaillée. Il n'appartient pas à la juridiction d'appel de trier dans la masse des objets saisis lesquels sont encore disponibles, soit qu'ils n'aient pas été restitués soit qu'ils n'aient pas été confisqués en vue de destruction. Ce travail de tri aurait dû être le fait de l'appelant principal, qui ne peut s'en remettre à la juridiction d'appel pour la restitution "de tous les objets saisis", au motif que le principal concerné est le mieux placé pour déterminer quel objet il revendique. Pour les motifs qui précèdent, l'appelant principal sera débouté de ses conclusions en restitution des objets saisis.</w:t>
      </w:r>
    </w:p>
    <w:p>
      <w:r>
        <w:rPr>
          <w:b/>
        </w:rPr>
        <w:t>E. 9</w:t>
      </w:r>
    </w:p>
    <w:p>
      <w:r>
        <w:t>Selon les articles 426 al. 1 et 428 al. 1 CPP, les frais de la procédure de première instance, qu'il y a lieu de revoir, le jugement entrepris étant partiellement annulé, et d'appel sont mis à la charge des parties dans la mesure où elles succombent.![endif]&gt;![if&gt; L'intimée et appelante jointe, qui obtient gain de cause sur le volet pénal mais succombe sur ses conclusions civiles, devrait s'acquitter d'une partie des frais (arrêt du Tribunal fédéral 6B_438/2013 du 18 juillet 2013) si elle n'avait pas, jusqu'à une semaine avant les débats d'appel, été soumise à l'assistance juridique. Or, dans cette hypothèse, l'art. 136 al. 2 let. b CPP prévoit explicitement l'exonération des frais de la procédure, disposition dont l'appelante jointe peut tirer bénéfice. Le prévenu, qui n'obtient gain de cause que sur la peine, sera condamné aux deux tiers des frais de la procédure de première instance et d'appel, ces derniers comprenant un émolument de CHF 2'500.- (art. 14 al. 1 let. e du règlement fixant le tarif des frais en matière pénale du 22 décembre 2010 [RTFMP ; E 4 10.03], le solde étant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