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P/4866/2025 vom 22. August 2025</w:t>
      </w:r>
    </w:p>
    <w:p>
      <w:r>
        <w:t>GE Cour de justice, 2025-08-22, FR</w:t>
      </w:r>
    </w:p>
    <w:p>
      <w:r>
        <w:rPr>
          <w:b/>
        </w:rPr>
        <w:t xml:space="preserve">Quelle: </w:t>
      </w:r>
      <w:r>
        <w:t>https://mcp.opencaselaw.ch/entscheid/ge_gerichte_P_4866_2025</w:t>
      </w:r>
    </w:p>
    <w:p>
      <w:r>
        <w:t>FR: GE_GERICHTE P/4866/2025 du 22 août 2025</w:t>
      </w:r>
    </w:p>
    <w:p>
      <w:r>
        <w:t>IT: GE_GERICHTE P/4866/2025 del 22 agosto 2025</w:t>
      </w:r>
    </w:p>
    <w:p>
      <w:pPr>
        <w:pStyle w:val="Heading2"/>
      </w:pPr>
      <w:r>
        <w:t>Regeste</w:t>
      </w:r>
    </w:p>
    <w:p>
      <w:r>
        <w:t>OPPOSITION TARDIVE;FICTION DE LA NOTIFICATION | CPP.354; CPP.85.al4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demande l’octroi d’un délai pour transmettre le dossier à un avocat et obtenir l’assistance juridique.</w:t>
      </w:r>
    </w:p>
    <w:p>
      <w:r>
        <w:rPr>
          <w:b/>
        </w:rPr>
        <w:t>E. 2.1</w:t>
      </w:r>
    </w:p>
    <w:p>
      <w:r>
        <w:t>Il est toutefois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ACPR/291/2013 du 24 juin 2013; Y. JEANNERET / A. KUHN / C. PERRIER DEPEURSINGE (éds), Commentaire romand : Code de procédure pénale suisse , 2 ème éd., Bâle 2019, n. 3 ad art. 385). Par conséquent, la demande d’octroi d’un délai sera rejetée.</w:t>
      </w:r>
    </w:p>
    <w:p>
      <w:r>
        <w:rPr>
          <w:b/>
        </w:rPr>
        <w:t>E. 2.2</w:t>
      </w:r>
    </w:p>
    <w:p>
      <w:r>
        <w:t>Dans la mesure où la cause est dépourvue de complexité et que le recourant peut se défendre efficacement seul, il ne remplit pas les conditions d’une défense d’office (art. 132 al. 1 let. b CPP), sans qu’il ne soit nécessaire de déterminer s’il est indigent.</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Le recourant fait grief au Tribunal de police de ne pas avoir tenu compte du fait que l’avis de retrait n’avait, selon lui, pas été mis dans sa boîte postale le 31 mai 2025.</w:t>
      </w:r>
    </w:p>
    <w:p>
      <w:r>
        <w:rPr>
          <w:b/>
        </w:rPr>
        <w:t>E. 4.1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w:t>
      </w:r>
    </w:p>
    <w:p>
      <w:r>
        <w:rPr>
          <w:b/>
        </w:rPr>
        <w:t>E. 4.2</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L’opposition émanant du prévenu n’a pas à être motivée (al. 2). Si aucune opposition n'est valablement formée, l'ordonnance pénale est assimilée à un jugement entré en force (art. 354 al. 3 CPP).</w:t>
      </w:r>
    </w:p>
    <w:p>
      <w:r>
        <w:rPr>
          <w:b/>
        </w:rPr>
        <w:t>E. 4.3</w:t>
      </w:r>
    </w:p>
    <w:p>
      <w:r>
        <w:t>Les communications écrites des autorités pénales sont en général notifiées par pli recommandé (art. 85 al. 2 CPP). Le fardeau de la preuve de la notification et de la date de celle-ci incombe en principe à l'autorité qui entend en tirer une conséquence juridique (ATF 129 I 8 consid. 2.2; arrêts du Tribunal fédéral 6B_876/2013 du 6 mars 2014 consid. 2.3.2; 6B_652/2013 du 26 novembre 2013 consid. 1.4.2). Il existe une présomption de fait – réfragable – selon laquelle, pour les envois recommandés, la date de remise d'un pli,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4.4</w:t>
      </w:r>
    </w:p>
    <w:p>
      <w:r>
        <w:t>Le prononcé est réputé notifié si son destinataire ne l'a pas retiré dans les sept jours à compter d'une tentative de remise infructueuse, à condition qu'il ait dû s'attendre à une telle remise (art. 85 al. 4 let. a CPP). Lorsque les conditions de la notification fictive sont réalisées, la notification a lieu le septième jour, même s’il ne s’agit pas d’un jour ouvrable. Pour le calcul du délai de recours, peu importe qu'il commence un jour ouvrable ou un samedi ou un jour férié reconnu. La date de la fiction de notification est toujours identifiable, car les sept jours commencent à courir à partir de la tentative de notification infructueuse, dont la date figure sur l'invitation à retirer le courrier (ATF 127 I 31 consid. 2b). Celui qui se sait partie à une procédure judiciaire et qui doit dès lors s'attendre à recevoir une notification d'actes de l’autorité, est tenu de relever son courrier ou, s'il s'absente de son domicile, de prendre des dispositions pour que celui-ci lui parvienne néanmoins. À ce défaut, il est réputé avoir eu, à l'échéance du délai de garde, connaissance du contenu des plis recommandés que l’autorité lui adresse (ATF 141 II 429 consid. 3.1; 139 IV 228 consid. 1.1 et les références citées; arrêt du Tribunal fédéral 6B_723/2020 du 2 septembre 2020).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(ATF 146 IV 30 consid. 1.1.2; arrêt du Tribunal fédéral 6B_448/2024 du 19 septembre 2024 consid. 3.2.2 et les références citées). Il faut cependant réserver le cas où la direction de la procédure est demeurée passive pendant une longue période, laissant à penser que l'affaire aurait été classée. À ce propos, le Tribunal fédéral a considéré que la notification d'une ordonnance de non-entrée en matière trois mois et demi après le dépôt de la plainte ne présentait pas une longue période (arrêt du Tribunal fédéral 1B_675/2011 du 14 décembre 2011). La Chambre de céans a eu la même appréciation s'agissant de l'écoulement d'un délai de quatre mois entre l'audition à la police du prévenu et la notification de l'ordonnance pénale ( ACPR/470/2013 du 10 octobre 2013; ACPR/202/2016 du 12 avril 2016).</w:t>
      </w:r>
    </w:p>
    <w:p>
      <w:r>
        <w:rPr>
          <w:b/>
        </w:rPr>
        <w:t>E. 4.5</w:t>
      </w:r>
    </w:p>
    <w:p>
      <w:r>
        <w:t>Une application stricte des règles de procédure, notamment en matière de délais, s'impose pour des raisons d'égalité de droit et ne relève pas d'un formalisme excessif (ATF 125 V 65 consid. 1 ; arrêts du Tribunal fédéral 6B_1240/2021 du 23 mai 2022 consid. 4.2 ; 6B_950/2021 du 28 avril 2022 consid. 4.1 ; 6B_256/2022 du 21 mars 2022 consid. 2.1 et la référence citée).</w:t>
      </w:r>
    </w:p>
    <w:p>
      <w:r>
        <w:rPr>
          <w:b/>
        </w:rPr>
        <w:t>E. 4.6</w:t>
      </w:r>
    </w:p>
    <w:p>
      <w:r>
        <w:t>En l’espèce, le Ministère public, à qui incombait le fardeau de la preuve de la notification de l’ordonnance pénale, a établi, par la production du suivi des envois recommandés, que le pli contenant celle-ci avait été expédié conformément aux réquisits de l’art. 85 al. 2 CPP et que l’avis de retrait avait été placé dans la case postale du recourant le 31 mai 2025. Le recourant conteste avoir reçu l’avis de retrait dans sa case postale le 31 mai 2025. Il explique l’avoir trouvé, à une date non précisée mais " bien plus tard ", " collé sur [s]a boîte ". Il expose que l’avis avait été mis par erreur dans une autre boîte et que le locataire de celle-ci le lui avait transmis comme sus-décrit. Ce faisant, il met en doute l’existence d’une notification régulière du pli litigieux mais ne produit aucun document propre à rendre vraisemblable cette allégation. Devant le Tribunal, il a offert de demander à l’office postal de confirmer que la situation évoquée se produisait régulièrement, mais n’a jamais produit de telle attestation. Le recourant échoue donc à rendre vraisemblable que l’avis de retrait n’aurait pas été placé dans sa boîte postale le 31 mai 2025. Au surplus, les conditions de la notification fictive de l’art. 85 al. 4 CPP sont remplies puisque le recourant avait été entendu par la police en qualité de prévenu, le 8 avril 2025, de sorte qu’il devait s’attendre à recevoir une communication des autorités pénales, ce d’autant que l’ordonnance pénale, du 28 mai 2025, a été expédiée moins de deux mois après cette audition. Il s’ensuit que les explications du recourant ne renversent pas la présomption du suivi des envois recommandés de la Poste. Partant, le recourant ayant été avisé pour retrait le 31 mai 2025, la notification est réputée être intervenue sept jours plus tard, à l’issue du délai de garde, soit le 7 juin 2025. Le délai pour former opposition a commencé à courir le lendemain, 8 juin 2025 (art. 90 al. 1 CPP), et est venu à échéance dix jours plus tard, le 17 juin 2025. Formée le 4 juillet 2025, l’opposition est donc tardive. Cette conclusion s’imposerait même si l’on devait interpréter la lettre du 19 juin 2025 comme une opposition.</w:t>
      </w:r>
    </w:p>
    <w:p>
      <w:r>
        <w:rPr>
          <w:b/>
        </w:rPr>
        <w:t>E. 5</w:t>
      </w:r>
    </w:p>
    <w:p>
      <w:r>
        <w:t>Le recours sera dès lors rejeté. Il appartiendra au Ministère public d’examiner la demande de restitution de délai (art. 94 CPP) que le recourant affirme avoir formée.</w:t>
      </w:r>
    </w:p>
    <w:p>
      <w:r>
        <w:rPr>
          <w:b/>
        </w:rPr>
        <w:t>E. 6</w:t>
      </w:r>
    </w:p>
    <w:p>
      <w:r>
        <w:t>Le recourant, qui succombe, supportera les frais envers l'État, fixés en totalité à CHF 600.-, y compris un émolument pour la présente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