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P/4853/2009 vom 17. Dezember 2014</w:t>
      </w:r>
    </w:p>
    <w:p>
      <w:r>
        <w:t>GE Cour de justice, 2014-12-17, FR</w:t>
      </w:r>
    </w:p>
    <w:p>
      <w:r>
        <w:rPr>
          <w:b/>
        </w:rPr>
        <w:t xml:space="preserve">Quelle: </w:t>
      </w:r>
      <w:r>
        <w:t>https://mcp.opencaselaw.ch/entscheid/ge_gerichte_P_4853_2009</w:t>
      </w:r>
    </w:p>
    <w:p>
      <w:r>
        <w:t>FR: GE_GERICHTE P/4853/2009 du 17 décembre 2014</w:t>
      </w:r>
    </w:p>
    <w:p>
      <w:r>
        <w:t>IT: GE_GERICHTE P/4853/2009 del 17 dicembre 2014</w:t>
      </w:r>
    </w:p>
    <w:p>
      <w:pPr>
        <w:pStyle w:val="Heading2"/>
      </w:pPr>
      <w:r>
        <w:t>Regeste</w:t>
      </w:r>
    </w:p>
    <w:p>
      <w:r>
        <w:t>FIXATION DE LA PEINE | CP.42; CP.47; CP.49; CP.63; CP.123.4; CP.144; CP.180.2; CP.181; CP.285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En l'espèce, dans la mesure où il n'est plus contesté, le verdict de culpabilité sera confirmé, dès lors qu'il est conforme aux éléments du dossier et consacre une correcte application du droit.</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En revanche,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2.1.2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59s, arrêt du Tribunal fédéral 6B_741/2010 du 9 novembre 2010 consid. 3.1.2). Selon la jurisprudence, en matière d'ivresse, une personne présentant un taux d’alcoolémie dans le sang de 3‰ et plus doit être considérée comme totalement irresponsable. Entre 2 et 3‰, sa responsabilité sera en règle générale diminuée, alors qu'en dessous de 2‰, on admettra en principe une responsabilité pleine et entière. Il ne s'agit cependant que d'une présomption, par ailleurs réfragable, qui peut être renversée en raison d'indices contraires (ATF 122 IV 49 consid. 1b p. 50 ; 119 IV 120 consid. 2b p. 123 ; 117 IV 292 consid. 2d p. 296 ; arrêt du Tribunal fédéral 6B_960/2009 du 30 mars 2010 consid. 1.2). 2.1.3 D'après l'art. 49 al. 1 CP,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2.1.4 Au sens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2.1.5 Dans l'ATF 135 IV 180 du 18 juin 2009 (consid. 2.3., y compris les références citées), le Tribunal fédéral a relevé que sous l'empire des anciennes dispositions générales du Code pénal, il était de jurisprudence constante que l'octroi du sursis n'entrait pas en considération si une mesure de sûreté était ordonnée en application des anciens art. 43 ou 44 CP. Comme le prononcé d'une mesure supposait nécessairement l'existence d'un risque de récidive, il était en effet impossible d'appliquer ces dispositions tout en posant un pronostic favorable permettant l'octroi du sursis. Selon notre haute instance, il n'en va pas différemment en application du nouveau droit. L'art. 63 al. 1 CP exposant qu'un traitement ambulatoire doit être ordonné s'il est à prévoir que celui-ci détournera l'auteur d'autres infractions en relation avec son état, il s'ensuit que le prononcé d'une telle mesure, qui suppose un risque de récidive, implique nécessairement un pronostic négatif. Les conditions du sursis, intégral ou partiel, ne sont donc pas remplies, de sorte qu’une peine ferme doit être prononcée. 2.1.6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Cette disposition postule de la sorte la pesée à effectuer entre l'atteinte aux droits inhérente à la mesure ordonnée et la dangerosité de l'auteur. D'autre part, l'art. 56a CP rappelle que si plusieurs mesures s'avèrent appropriées, mais qu'une seule est nécessaire, le juge ordonne celle qui porte à l'auteur les atteintes les moins graves (arrêts du Tribunal fédéral 6B_950/2009 du 10 mars 2010 consid. 4, 6B_457/2007 du 12 novembre 2007 consid. 5.2 ; cf. déjà ATF 118 IV 108 consid. 2a p. 113 et les références citées).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A cet égard, les rapports de thérapeutes ne suffisent pas (ATF 134 IV 246 , consid. 4.3 p. 254). 2.1.7 Aux termes de l'art. 57 al. 1 CP, si les conditions sont remplies aussi bien pour le prononcé d’une peine que pour celui d’une mesure, le juge ordonne les deux sanctions. 2.1.8 En vertu de l'art. 63 al. 1 CP,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A la lumière des principes généraux de l'exécution des peines (art. 75 al. 1 CP), il pourrait apparaître comme inutile d'ordonner un tel traitement dans la cadre d'une détention puisque les établissements doivent de toute façon mettre à disposition des condamnés les traitements thérapeutiques jugés nécessaires. Le fait que la mesure soit ordonnée par le juge aura cependant un avantage, puisque la direction de l'établissement se verra concrètement obligée d'y donner suite et que le détenu, de son côté, ne pourra pas s'y soustraire. La mesure prononcée a le caractère d'une injonction judiciaire, non seulement à l'égard de la direction de l'établissement pénitentiaire, mais également à l'endroit du condamné (A. BAECHTOLD, Exécution des peines : l'exécution des peines et mesures concernant les adultes en Suisse , Berne 2008, p. 310).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Pour se prononcer sur la suspension de l'exécution d'une peine privative de liberté ferme, le juge doit se fonder sur une expertise psychiatrique (art. 56 al. 3 let. c CP en relation avec l'art. 63 CP).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Le juge dispose d'un large pouvoir d'appréciation pour décider de l'éventuelle suspension de l'exécution de la peine et le Tribunal fédéral n'intervient qu'en cas d'excès ou d'abus de celui-ci (arrêt du Tribunal fédéral 6B_335/2012 du 13 août 2012 consid. 2.1 et les références citées). 2.2.1 En l'espèce, la faute de l'appelant est importante. Il s'en est pris à l'intégrité physique et psychique de son épouse, perpétuant à son encontre, sur une période de plusieurs années et à intervalles réguliers, des actes de contrainte et de violence, des menaces et des insultes, plongeant celle-ci, mais également leur fille, dans un climat de crainte. Par ailleurs, il s'en est pris à deux reprises aux forces de l'ordre et n'a pas hésité à détériorer la propriété d'autrui, se laissant porter par son impulsivité. Les mobiles de l'appelant sont purement égoïstes. En particulier, s'appliquant à rompre ses engagements, il a laissé libre cours à ses pulsions agressives, n'hésitant pas à traquer son épouse dans le but de provoquer des rencontres avec celle-ci et leur fille, et ce sans égard à leur ressenti. L'appelant a d'ores et déjà été condamné par le passé pour avoir physiquement violenté sa femme, soit pour des actes assimilables à certains de ceux dont il lui est fait reproche dans la présente procédure. Ses antécédents sont ainsi spécifiques. Sa collaboration à la procédure a été moyenne. L'appelant a certes admis, dès les prémisses de la procédure, une importante partie des faits qui lui étaient reprochés, mais il s'est surtout évertué à les minimiser. Au surplus, il ne semble pas avoir pleinement pris conscience de l'illicéité de son comportement. Il ne montre aucune motivation à s'investir dans un traitement visant à soigner ses troubles, ayant même été jusqu'à interrompre, de sa propre initiative, le suivi psychiatrique qui avait été mis en place dans son intérêt. Hormis le trouble de la personnalité dont il est victime, rien dans la situation personnelle de l'appelant ne semble susceptible d'apporter la justification de ses agissements. Il convient toutefois de tenir compte de l'expertise psychiatrique figurant au dossier, laquelle retient à juste titre qu'en raison d'un grave trouble mental présent lors de l'accomplissement des faits, l'appelant était sujet à une très légère diminution de sa responsabilité pénale. L'appelant sera en outre mis au bénéfice d'une responsabilité moyennement restreinte en relation avec les faits du 3 juillet 2010, lors desquels il faisait l'objet d'une importante intoxication à l'alcool. La diminution de responsabilité pénale de l'appelant, déjà admise en première instance, aura pour effet une réduction, dans une mesure proportionnée, de la gravité de la faute commise. Cette dernière n’en reste pas moins importante de sorte que, ajoutée au concours d'infractions qui justifie une augmentation de la peine dans une raisonnable proportion, la peine privative de liberté de 12 mois prononcée par le premier juge est adéquate, car adaptée à la culpabilité de l'appelant, et doit être confirmée. 2.2.2 Dans son complément d'expertise, l'expert a considéré qu'au vu de l'incapacité de l'appelant à contrôler son comportement et à gérer ses émotions en cas de situations conflictuelles, un risque de récidive moyen à élevé devait être retenu. Sur cette base, le premier juge a à juste titre ordonné en faveur de l'appelant un traitement ambulatoire, dont le bien-fondé ne fait l'objet d'aucune contestation en appel. Ainsi, étant en outre tenu compte de sa faible prise de conscience et de ses antécédents spécifiques, dont il a été précédemment fait mention sous chiffre 2.2.1, le pronostic d'avenir de l'appelant doit être considéré comme concrètement défavorable, de sorte que les conditions fixées au prononcé d'un sursis, total ou partiel, ne sont pas réalisées. Par conséquent, seule une peine ferme est envisageable. A toutes fins utiles, il sied de préciser que si les deux expertises rendues successivement dans le cadre de cette procédure semblent se contredire sur la question de l'évaluation du risque de récidive, cela résulte du fait que la première expertise avait pour base un dossier incomplet, ce que l'expert a confirmé. Partant, les constatations émises par l'appelant à ce sujet sont dénuées de pertinence. La décision du premier juge sera donc également confirmée sur ce point. 2.2.3 Reste donc à déterminer si la peine privative de liberté à laquelle l'appelant a été condamné se doit d'être suspendue au profit du traitement ambulatoire. En l'espèce, le rapport d'expertise n'indique pas que le trouble présenté par l'appelant se soignerait mieux en dehors du milieu carcéral ou que ses chances de réinsertion seraient réduites si le traitement était suivi simultanément à l'exécution de la peine. Bien au contraire, il précise que le risque d'une atteinte grave à l'intégrité physique de l'un ou l'autre des protagonistes n'est pas à écarter et qu'une peine privative de liberté est parfaitement compatible avec le traitement ordonné. En outre, l'appelant a d'ores et déjà, par le passé, mis fin de manière inopinée à son suivi psychiatrique et s'est totalement désintéressé de la procédure d'appel, s'abstenant de se présenter aux débats, pourtant ajournés. Par son comportement, il a ainsi forgé la preuve de son incapacité à prendre conscience de ses actes et à en assumer la responsabilité, de telle manière qu'il est difficile d'envisager qu'il parvienne à se soumettre à un tel traitement hors du milieu carcéral. Au vu de ce qui précède, il sied de confirmer la décision du premier juge, selon laquelle le traitement ambulatoire devra être accompli en prison.</w:t>
      </w:r>
    </w:p>
    <w:p>
      <w:r>
        <w:rPr>
          <w:b/>
        </w:rPr>
        <w:t>E. 3</w:t>
      </w:r>
    </w:p>
    <w:p>
      <w:r>
        <w:t>L'appelant, qui succombe, supportera l'entier des frais de la procédure d’appel (art. 428 CPP), comprenant dans leur totalité un émolument de décision de CHF 2'000.- (art. 14 al. 1 let. e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