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P/4824/2021 vom 14. Juli 2021</w:t>
      </w:r>
    </w:p>
    <w:p>
      <w:r>
        <w:t>GE Cour de justice, 2021-07-14, FR</w:t>
      </w:r>
    </w:p>
    <w:p>
      <w:r>
        <w:rPr>
          <w:b/>
        </w:rPr>
        <w:t xml:space="preserve">Quelle: </w:t>
      </w:r>
      <w:r>
        <w:t>https://mcp.opencaselaw.ch/entscheid/ge_gerichte_P_4824_2021</w:t>
      </w:r>
    </w:p>
    <w:p>
      <w:r>
        <w:t>FR: GE_GERICHTE P/4824/2021 du 14 juillet 2021</w:t>
      </w:r>
    </w:p>
    <w:p>
      <w:r>
        <w:t>IT: GE_GERICHTE P/4824/2021 del 14 luglio 2021</w:t>
      </w:r>
    </w:p>
    <w:p>
      <w:pPr>
        <w:pStyle w:val="Heading2"/>
      </w:pPr>
      <w:r>
        <w:t>Regeste</w:t>
      </w:r>
    </w:p>
    <w:p>
      <w:r>
        <w:t>DETENTION;MESURE DE SÛRETÉ(DROIT PÉNAL);PROPORTIONNALITÉ;ASSISTANCE JUDICIAIRE | CPP.231</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ACPR/254/2015 du 30 avril 2015 consid. 1 et les références; ACPR/12/2017 du 13 janvier 2017) et émaner du prévenu qui, partie à la procédure (art. 104 al. 1 let. a CPP), a qualité pour agir, ayant un intérêt juridiquement protégé à la modification ou à l'annulation de la décision querellée (art. 382 al. 1 CPP).</w:t>
      </w:r>
    </w:p>
    <w:p>
      <w:r>
        <w:rPr>
          <w:b/>
        </w:rPr>
        <w:t>E. 2.1</w:t>
      </w:r>
    </w:p>
    <w:p>
      <w:r>
        <w:t>Une mesure de détention pour des motifs de sûreté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(ATF 143 IV 168 consid. 2). L'art. 231 al. 1 CPP prévoit qu'au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et l'art. 220 al. 2 CPP précise que la détention pour des motifs de sûreté prend fin au moment où l'expulsion est exécutée. L'art. 66a al. 1 let. e CP, qui prévoit l'expulsion obligatoire d'un étranger condamné notamment pour obtention illicite de prestations d'une assurance sociale ou de l'aide sociale (art. 148a al. 1 CP), figure dans le chapitre 2 intitulé "Mesures" du Code pénal. L'expulsion obligatoire est donc une mesure à caractère pénal. Pour le Tribunal fédéral, il est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(art. 5 al. 1 CPP) est respecté (ATF 143 IV 168 consid. 5.3).</w:t>
      </w:r>
    </w:p>
    <w:p>
      <w:r>
        <w:rPr>
          <w:b/>
        </w:rPr>
        <w:t>E. 2.2</w:t>
      </w:r>
    </w:p>
    <w:p>
      <w:r>
        <w:t>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139 IV 270 consid. 3.1 p. 275 et les arrêts cités). Lorsque le détenu a déjà été jugé en première instance, ce prononcé constitue un indice important quant à la peine susceptible de devoir être finalement exécutée (ATF 139 IV 270 consid. 3.1 p. 275 s. et les arrêts cités). Afin d'éviter d'empiéter sur les compétences du juge du fond, le juge de la détention ne tient en principe pas compte de la possibilité éventuelle de l'octroi, par l'autorité de jugement, d'un sursis, d'un sursis partiel (ATF 139 IV 270 consid. 3.1 p. 275) ou d'une libération conditionnelle (arrêt 1B_82/2013 du 27 mars 2013 consid. 3.2, in Pra 2013 74 549).</w:t>
      </w:r>
    </w:p>
    <w:p>
      <w:r>
        <w:rPr>
          <w:b/>
        </w:rPr>
        <w:t>E. 2.3</w:t>
      </w:r>
    </w:p>
    <w:p>
      <w:r>
        <w:t>En l'espèce, il n'est pas exclu que le recourant fasse appel du jugement, le délai échéant le 16 juillet 2021, lui qui a plaidé l'acquittement sur la plupart des infractions (dont l'art. 148a CP) retenues par le Tribunal et s'est opposé à son expulsion. Ainsi, au moment du jugement, le Tribunal de police ignorait si le recourant ferait appel de sa condamnation, respectivement si le Ministère public ferait appel ou appel joint, de sorte qu'il était fondé à ordonner le maintien en détention du recourant pour des motifs de sûreté, consécutivement au jugement, en vue de garantir l'exécution de la mesure pénale prononcée sur la base de l'art. 66a CP (art. 220 al. 2 CPP ; ATF 143 IV 168 consid. 3.2 in fine ). Le risque de fuite, notamment par passage dans la clandestinité, était et demeure patent, le recourant étant de nationalité étrangère et sans aucune attache avec la Suisse, ce qu'il ne conteste pas. Au jour de sa condamnation, le recourant avait subi 116 jours de détention, soit moins de 4 mois sur les 5 auxquels il a été condamné. Ainsi, en ordonnant une mesure de sûreté de 10 jours, soit le délai pour l'annonce d'appel, le Tribunal a respecté le principe de proportionnalité. Aucun grief de violation du principe de la célérité n'est constaté dans la procédure, les interruptions étant essentiellement le fait du recourant notamment s'agissant du dessaisissement. Le recours est dès lors rejeté.</w:t>
      </w:r>
    </w:p>
    <w:p>
      <w:r>
        <w:rPr>
          <w:b/>
        </w:rPr>
        <w:t>E. 3</w:t>
      </w:r>
    </w:p>
    <w:p>
      <w:r>
        <w:t>Le recourant conclut à l'octroi de l'assistance judicaire pour la procédure de recours.</w:t>
      </w:r>
    </w:p>
    <w:p>
      <w:r>
        <w:rPr>
          <w:b/>
        </w:rPr>
        <w:t>E. 3.1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3.2</w:t>
      </w:r>
    </w:p>
    <w:p>
      <w:r>
        <w:t>En l'occurrence, le recours était dénué de toute chance de succès, au vu des développements de la présente décision, de sorte que l'assistance judicaire sera refusée pour la procédure de recours.</w:t>
      </w:r>
    </w:p>
    <w:p>
      <w:r>
        <w:rPr>
          <w:b/>
        </w:rPr>
        <w:t>E. 4</w:t>
      </w:r>
    </w:p>
    <w:p>
      <w:r>
        <w:t>En tant qu'il succombe, le recourant supportera les frais de la procédure de recours (art. 428 al. 1 CPP).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