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P/481/2013 vom 24. September 2018</w:t>
      </w:r>
    </w:p>
    <w:p>
      <w:r>
        <w:t>GE Cour de justice, 2018-09-24, FR</w:t>
      </w:r>
    </w:p>
    <w:p>
      <w:r>
        <w:rPr>
          <w:b/>
        </w:rPr>
        <w:t xml:space="preserve">Quelle: </w:t>
      </w:r>
      <w:r>
        <w:t>https://mcp.opencaselaw.ch/entscheid/ge_gerichte_P_481_2013</w:t>
      </w:r>
    </w:p>
    <w:p>
      <w:r>
        <w:t>FR: GE_GERICHTE P/481/2013 du 24 septembre 2018</w:t>
      </w:r>
    </w:p>
    <w:p>
      <w:r>
        <w:t>IT: GE_GERICHTE P/481/2013 del 24 settembre 2018</w:t>
      </w:r>
    </w:p>
    <w:p>
      <w:pPr>
        <w:pStyle w:val="Heading2"/>
      </w:pPr>
      <w:r>
        <w:t>Regeste</w:t>
      </w:r>
    </w:p>
    <w:p>
      <w:r>
        <w:t>CLASSEMENT DE LA PROCÉDURE ; GESTION DÉLOYALE ; INDEMNITÉ(EN GÉNÉRAL) ; FAUX MATÉRIEL DANS LES TITRES | CPP.319.al1; CP.158.al4; CP.251.al1</w:t>
      </w:r>
    </w:p>
    <w:p>
      <w:pPr>
        <w:pStyle w:val="Heading2"/>
      </w:pPr>
      <w:r>
        <w:t>Erwägungen</w:t>
      </w:r>
    </w:p>
    <w:p>
      <w:r>
        <w:rPr>
          <w:b/>
        </w:rPr>
        <w:t>E. 1</w:t>
      </w:r>
    </w:p>
    <w:p>
      <w:r>
        <w:t>Le recours est recevable pour avoir été déposé selon la forme et - les formalités de notification (art. 85 al. 2 CPP) n'ayant pas été observées - dans le délai prescrits (art. 90 al. 2,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recourante estime qu'il existe une prévention suffisante de faux dans les titres et de gestion déloyale à l'encontre du recourant.</w:t>
      </w:r>
    </w:p>
    <w:p>
      <w:r>
        <w:rPr>
          <w:b/>
        </w:rPr>
        <w:t>E. 2.1</w:t>
      </w:r>
    </w:p>
    <w:p>
      <w:r>
        <w:t>L'art. 319 al. 1 CPP prévoit que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à l'adage in dubio pro duriore . Celui-ci, qui découle du principe de la légalité (art. 5 al. 1 Cst. et 2 al. 2 CPP en relation avec les art. 319 al. 1 et 324 CPP; ATF 138 IV 86 consid. 4.2) et qui s'impose également à l'autorité de recours, signifie qu'en principe, un classement ne peut être prononcé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 A. KUHN / Y. JEANNERET (éds), Commentaire romand : Code de procédure pénale suisse , Bâle 2011,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ATF 138 IV 186 consid. 4.1).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toutefois admises au stade du classement, dans le respect du principe 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confronté à des preuves non claires, d'anticiper sur l'appréciation des preuves par le juge du fond (ATF 143 IV 241 consid. 2.3.2 p. 244 et les références citées).</w:t>
      </w:r>
    </w:p>
    <w:p>
      <w:r>
        <w:rPr>
          <w:b/>
        </w:rPr>
        <w:t>E. 2.2</w:t>
      </w:r>
    </w:p>
    <w:p>
      <w:r>
        <w:t>Se rend coupable de gestion déloyale au sens de l'art. 158 CP,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L'infraction réprimée par l'art. 158 ch. 1 CP ne peut être commise que par une personne qui revêt la qualité de gérant, soit une personne à qui incombe, de fait ou formellement, la responsabilité d'administrer un complexe patrimonial non négligeable dans l'intérêt d'autrui (ATF 129 IV 124 consid. 3.1 p. 126 ; ATF 123 IV 17 consid. 3b p. 21). En règle générale, une qualité de gérant est reconnue aux organes ou membres d'organes de sociétés commerciales, ainsi qu'aux associés gérants dans la société en nom collectif (ATF 80 IV 243 , JdT 1955 IV 77).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Le comportement délictueux consiste à violer le devoir de gestion ou de sauvegarde (ATF 123 IV 17 consid. 3c p. 22; ATF 120 IV 190 consid. 2b spéc. p. 193; ATF 105 IV 307 consid. 3 p. 312 s.).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voire encore d'éventuelles dispositions statutaires, de règlements internes, décisions de l'assemblée générale, buts de la société et usages spécifiques de la branche, etc. (arrêts du Tribunal fédéral 6B_787/2016 du 2 mai 2017 consid. 2.3.1 et les références; 6B_412/2016 du 10 février 2017 consid. 2.3 et les références; 6B_845/2014 du 16 mars 2015 consid. 3.2; 6B_967/2013 du 21 février 2014 consid. 3.2). L'infraction n'est consommée que s'il y a eu un préjudice (ATF 120 IV 190 consid. 2b p. 193), en rapport de causalité avec la violation des devoirs (ATF 129 IV 124 consid. 3.1 p. 125).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122 IV 279 consid. 2a p. 281 ; 121 IV 104 consid. 2c p. 107 ; 120 IV 122 consid. 6b/bb p. 135). Il faut enfin que l'auteur ait agi intentionnellement (arrêt du Tribunal fédéral 6B_412/2016 du 10 février 2017 consid. 2.1 in fine ). La conscience et la volonté de l'auteur doivent englober la qualité de gérant, la violation du devoir de gestion et le dommage (ATF 129 IV 124 consid. 3.1 p. 125; arrêt du Tribunal fédéral 6B_223/2010 du 13 janvier 2011 consid. 3.3.3). Le dol éventuel suffit; vu l'imprécision des éléments constitutifs objectifs de l'infraction, la jurisprudence se montre toutefois restrictive, soulignant que le dol éventuel doit être strictement caractérisé (ATF 123 IV 17 consid. 3e p. 23; arrêts du Tribunal fédéral 6B_787/2016 du 2 mai 2017 consid. 2.5; 6B_412/2016 du 10 février 2017 consid. 2.5).</w:t>
      </w:r>
    </w:p>
    <w:p>
      <w:r>
        <w:rPr>
          <w:b/>
        </w:rPr>
        <w:t>E. 2.3</w:t>
      </w:r>
    </w:p>
    <w:p>
      <w:r>
        <w:t>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Il y a faux matériel lorsque l'auteur réel du document ne correspond pas à l'auteur apparent, alors que le faux intellectuel vise un titre qui émane de son auteur apparent, mais dont le contenu ne correspond pas à la réalité (ATF 142 IV 119 consid. 2.1 p. 121 ; ATF 138 IV 130 consid. 2.1 p. 134). Il y a notamment création d'un titre faux lorsque l'auteur rédige un document en faisant apparaître, à côté de sa propre signature, celle supposée d'une autre personne, comme cocontractante, alors que cette dernière n'a nullement approuvé le texte (arrêt du Tribunal fédéral 6B_55/2017 du 24 mars 2017 consid. 2.2). Les documents faussement créés doivent constituer des titres tels que définis par l'art. 110 ch. 4 CP, soit tout écrit destiné et propre à prouver un fait ayant une portée juridique et tout signe destiné à prouver un tel fait. Sur le plan subjectif, le faux dans les titres est une infraction intentionnelle. L'intention doit porter sur tous les éléments constitutifs. Le dol éventuel suffit (ATF 141 IV 369 consid. 7.4 p. 377).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arrêt du Tribunal fédéral 6B_736/2016 du 9 juin 2017 consid. 2.1 et les références). L'avantage est une notion très large. Il peut être matériel ou immatériel. Il suffit que l'auteur veuille améliorer sa situation. Son illicéité peut résulter de la loi, du but poursuivi ou du moyen utilisé; elle peut donc être déduite du seul fait que l'auteur recourt à un faux (arrêts du Tribunal fédéral 6B_441/2016 du 29 mars 2017 consid. 6.2; 6B_367/2007 du 10 octobre 2007 consid. 4.4 non publié in ATF 133 IV 303 ). 2.4.1 . En l'espèce, s'agissant de l'infraction de gestion déloyale, il est constant qu'en transférant la somme de CHF 147'845.- sur son compte personnel depuis le compte de la société, le 27 décembre 2012, soit avant le "blocage" du compte de la société, et en s'acquittant du paiement de son loyer privé avec les fonds de la société, l'intimé a, en sa qualité d'associé gérant de D______, contrevenu à son obligation de bonne gestion. Cela étant, il ne fait aucun doute qu'il n'a pas délibérément porté atteinte aux intérêts pécuniaires de la société et partant, de la recourante, ayant lui-même constitué et entièrement financé cette société, ainsi que démontré, par pièces justificatives, avoir affecté une grande partie du montant en cause au paiement des charges et des dettes de la société, ce qui rend vraisemblable que le montant restant, non démontré par pièces, l'a également été. Il a de plus effectué de nombreux apports. La société n'a en outre jamais été bénéficiaire, ce que la recourante savait, de sorte qu'il n'y a jamais eu de bénéfice à partager entre les associés. Dans ces conditions, faute de préjudice pour la recourante et en l'absence de dol éventuel, tel que défini par la jurisprudence sus-énoncée au regard de l'art. 158 CP, c'est à bon droit que le Ministère public a ordonné le classement de l'infraction de gestion déloyale. 2.4.2. S'agissant de l'infraction de faux dans les titres, la Chambre de céans constate, au vu de la jurisprudence précitée au sujet de l'art. 251 CP, que la contrefaçon de la signature de la recourante par le prévenu, sans son accord, ce qu'il a du reste lui-même admis, à côté de sa propre signature, constitue assurément un faux matériel, quand bien même il a ajouté la mention "______" avant la signature litigieuse. Cependant, le courrier litigieux a été établi, en mars 2013, soit lorsque les relations entre les parties étaient au plus bas et que des plaintes pénales avaient été déposées de part et d'autre. Le compte bancaire de la société était en outre "de fait" bloqué, les parties n'arrivant pas à s'entendre afin d'apposer leurs signatures sur les ordres de paiement dudit compte. Dans ce contexte, l'intimé gérait le paiement des factures de la société depuis son compte personnel, de sorte qu'à teneur du dossier, il n'est guère possible d'établir que sa demande avait un autre but que l'intérêt de la société et partant, de la recourante, en faisant en sorte de pouvoir continuer à en payer les dettes, ce qu'il a du reste démontré avoir fait. Dans ces circonstances, force est de constater qu'il n'existe de prévention suffisante ni de dessein de porter atteinte aux intérêts pécuniaires d'autrui ni de dessein de se procurer un avantage illicite et, partant d'infraction de faux dans les titres. S'agissant des actes d'instructions sollicités visant à établir la volonté de l'intimé de se procurer un avantage pécuniaire au détriment de la recourante et de D______, ils n'apparaissent pas utiles à l'élucidation des faits de la cause, dès lors que les déclarations des témoins ne pourront pas établir des faits concrets mais reposeront sur d'uniques déductions personnelles.</w:t>
      </w:r>
    </w:p>
    <w:p>
      <w:r>
        <w:rPr>
          <w:b/>
        </w:rPr>
        <w:t>E. 3</w:t>
      </w:r>
    </w:p>
    <w:p>
      <w:r>
        <w:t>Justifiée, l'ordonnance querellée sera donc confirmée.</w:t>
      </w:r>
    </w:p>
    <w:p>
      <w:r>
        <w:rPr>
          <w:b/>
        </w:rPr>
        <w:t>E. 4</w:t>
      </w:r>
    </w:p>
    <w:p>
      <w:r>
        <w:t>La recourante, qui succombe, supportera les frais envers l'État (art. 428 al. 1 CPP et 13 al. 1 du Règlement fixant le tarif des frais en matière pénale, RTFMP ; E 4 10.03), fixés en totalité à CHF 1'000.-, émolument de décision compris.</w:t>
      </w:r>
    </w:p>
    <w:p>
      <w:r>
        <w:rPr>
          <w:b/>
        </w:rPr>
        <w:t>E. 5</w:t>
      </w:r>
    </w:p>
    <w:p>
      <w:r>
        <w:t>5.1. L'indemnité du défenseur d'office de l'intimé, prévenu, sera fixée à la fin de la procédure (art. 135 al. 2 CPP), ce dernier ayant formé opposition à l'ordonnance pénale le condamnant.</w:t>
      </w:r>
    </w:p>
    <w:p>
      <w:r>
        <w:rPr>
          <w:b/>
        </w:rPr>
        <w:t>E. 5.2</w:t>
      </w:r>
    </w:p>
    <w:p>
      <w:r>
        <w:t>Une indemnisation par l'État des frais d'avocat de la recourante, partie plaignante, n'entre pas en considération, la défense d'office lui ayant été accordée qu'en sa qualité de prévenue, par ordonnance du 28 novembre 2014.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