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P/47/2016 vom 14. August 2018</w:t>
      </w:r>
    </w:p>
    <w:p>
      <w:r>
        <w:t>GE Cour de justice, 2018-08-14, FR</w:t>
      </w:r>
    </w:p>
    <w:p>
      <w:r>
        <w:rPr>
          <w:b/>
        </w:rPr>
        <w:t xml:space="preserve">Quelle: </w:t>
      </w:r>
      <w:r>
        <w:t>https://mcp.opencaselaw.ch/entscheid/ge_gerichte_P_47_2016</w:t>
      </w:r>
    </w:p>
    <w:p>
      <w:r>
        <w:t>FR: GE_GERICHTE P/47/2016 du 14 août 2018</w:t>
      </w:r>
    </w:p>
    <w:p>
      <w:r>
        <w:t>IT: GE_GERICHTE P/47/2016 del 14 agosto 2018</w:t>
      </w:r>
    </w:p>
    <w:p>
      <w:pPr>
        <w:pStyle w:val="Heading2"/>
      </w:pPr>
      <w:r>
        <w:t>Erwägungen</w:t>
      </w:r>
    </w:p>
    <w:p>
      <w:r>
        <w:rPr>
          <w:b/>
        </w:rPr>
        <w:t>E. 1</w:t>
      </w:r>
    </w:p>
    <w:p>
      <w:r>
        <w:t>Les recours sont recevables pour avoir été déposés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 Ils seront, vu leur similitude, traités par une seule décision.![endif]&gt;![if&gt;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Selon l'art. 319 al. 1 CPP, le ministère public ordonne le classement de tout ou partie de la procédure lorsqu'aucun soupçon justifiant une mise en accusation n'est établi (let. a) ou lorsque les éléments constitutifs d'une infraction en sont pas réunis (let. b). Ces conditions doivent être interprétées à la lumière de la maxime " in dubio pro duriore " qui s'impose tant à l'autorité de poursuite qu'à l'autorité de recours durant l'instruction (ATF 138 IV 86 consid 4.1.1 ; arrêt du Tribunal fédéral 6B_152/2014 du 6 janvier 2015 consid. 3.2). Le principe in dubio pro duriore ,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2.5).![endif]&gt;![if&gt;</w:t>
      </w:r>
    </w:p>
    <w:p>
      <w:r>
        <w:rPr>
          <w:b/>
        </w:rPr>
        <w:t>E. 4</w:t>
      </w:r>
    </w:p>
    <w:p>
      <w:r>
        <w:t>4.1.1.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![endif]&gt;![if&gt; Cette disposition protège la réputation d'être une personne honorable, c'est-à-dire de se comporter comme une personne digne a coutume de le faire selon les conceptions généralement reçues. Le fait d'accuser une personne d'avoir commis un crime ou un délit intentionnel entre dans les prévisions de l'art. 173 ch. 1 CP (ATF 132 IV 112 consid. 2.2. p. 115).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 Arrêts du Tribunal fédéral 6S.451/2002 du 10.01.2003 et 6B_371/2001 du 15.08.2011). 4.1.2.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sont cumulatives. L'admission de la preuve libératoire constitue la règle et elle ne peut être refusée que si l'auteur a agi principalement dans le but de dire du mal d'autrui et s'il s'est exprimé sans motif suffisant (ATF 132 IV 112 consid. 3.1 p. 116; 82 IV 91 consid. 2 et 3).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 nouv. éd., Genève/Zurich/Bâle 2009, n. 2057 et 2058). 4.1.3. La preuve de la vérité doit être considérée comme rapportée lorsque l'auteur de la diffamation établit que tous les éléments essentiels des allégations qu'il a articulées ou propagées sont vrais (ATF 102 IV 176 = JdT 1978 IV 12 consid. 1b et les références citées). Dans le cas où l'atteinte à l'honneur consiste dans un soupçon jeté ou propagé, il n'existe pas de règle particulière quant à la preuve de la vérité. Celle-ci consiste dans la preuve de la réalité du fait préjudiciable à l'honneur et non dans celle du facteur justifiant le soupçon (ATF 102 IV 176 consid. 1c et 1 d; B. CORBOZ, Les infractions en droit suisse , Volume I, 3ème éd., n. 67 ad art. 173). 4.1.4. La preuve de la bonne foi se distingue de la preuve de la vérité: il faut se placer au moment de la communication litigieuse et rechercher, en fonction des éléments dont l'auteur disposait à l'époque, s'il avait des raisons sérieuses de tenir de bonne foi pour vrai ce qu'il a dit. La preuve est apportée lorsque l'accusé de bonne foi démontre qu'il a accompli les actes que l'on pouvait exiger de lui, selon les circonstances et sa situation personnelle, pour contrôler la véracité de ses allégations et la considérer comme établie (B. CORBOZ, op.cit. , n. 75, 78, 80 et 82 ad art. 173).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(ATF 116 IV 205 consid. 3b p. 208).</w:t>
      </w:r>
    </w:p>
    <w:p>
      <w:r>
        <w:rPr>
          <w:b/>
        </w:rPr>
        <w:t>E. 4.2</w:t>
      </w:r>
    </w:p>
    <w:p>
      <w:r>
        <w:t>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 Une véritable connaissance de la fausseté des propos est toutefois nécessaire pour que cette infraction soit réalisée, le dol éventuel n'étant pas suffisant. 4.3.1. En l'espèce, le Ministère public a admis que les propos du prévenu pouvaient porter atteinte à l'honneur, notamment lorsqu'il les accusait d'avoir commis des crimes et qu'en conséquence, les éléments constitutifs objectifs de l'infraction de diffamation (art. 173 CP) apparaissaient réalisés. Ce constat que, bien évidemment, les recourants ne remettent pas en cause, doit être confirmé. 4.3.2. Il en va de même s'agissant du traitement de l'infraction de calomnie par le Ministère public, écartée à juste titre puisqu'aucun élément du dossier ne vient établir que le directeur des D______ [INSTITUTION DE DROIT PUBLIC ] aurait tenu des propos qu'il savait mensongers. Au contraire, c'est en s'appuyant sur des documents non équivoques qu'il s'est exprimé, à savoir : - le rapport d'audit interne établi en juin 2015 par les D______ [INSTITUTION DE DROIT PUBLIC ]; - la décision administrative de mise à pied de B______, de la suspension de son traitement et de l'ouverture d'une enquête administrative des 22 juin 2015 et 17 juillet 2015; - la lettre de la Cour des comptes du 24 juin 2015 et sa dénonciation du même jour au Procureur général; - la plainte pénale des D______ [INSTITUTION DE DROIT PUBLIC ] du 16 juillet 2015; - les informations qui remontaient à C______ au fil des découvertes faites par la Direction des finances des D______ [INSTITUTION DE DROIT PUBLIC ]; - l'audition de B______ et A______ en qualité de prévenus de gestion déloyale des intérêts publics et de complicité ou instigation de gestion déloyale des intérêts publics par le Ministère public le 16 septembre 2015; - les procès-verbaux établis dans le cadre de la P/1______/2015 et - le rapport de la Cour des comptes du 18 décembre 2015, auquel les D______ [INSTITUTION DE DROIT PUBLIC ] ont eu accès afin de présenter leurs observations. L'ensemble de ces documents, émanant pour certains d'entre eux d'autorités reconnues, indiquait une atteinte massive aux intérêts des D______ [INSTITUTION DE DROIT PUBLIC ] et il était du devoir du directeur général de cet établissement public d'y accorder crédit afin de corriger les dysfonctionnements qui l'affectaient. L'importance et la convergence de ces documents ne pouvaient que le convaincre qu'ils étaient véridiques et, a contrario, ne pas lui laisser penser qu'en en parlant, ils puissent être mensongers. Rien sinon leur conviction ne permet de considérer que les recourants auraient apporté un doute à ce sujet et permis de considérer qu'il y aurait eu matière à retenir une prévention de calomnie autorisant un renvoi en jugement du chef de cette disposition et la décision entreprise doit à ce sujet être confirmée. 4.3.3. Ne reste dès lors en suspens que la question des moyens libératoires liés à la diffamation. Au vu du contexte général rappelé ci-dessus, le prévenu devait légitimement être alerté et penser que l'importante institution qu'il dirigeait était victime d'agissements graves constitutifs d'infractions à son égard. Dans ses propos, le mis en cause a d'ailleurs exposé les faits tels qu'ils ressortaient des nombreux documents déjà en sa possession, qui émanaient notamment de la Cour des comptes et du Ministère public. Au vu de leur contenu, il était légitimé, en décembre 2015 déjà, à s'exprimer avec force sur ce qui affectait les D______ [INSTITUTION DE DROIT PUBLIC ]. En outre, il est constant qu'au moment où les propos litigieux ont été prononcés, les faits connus et reprochés aux recourants étaient établis notamment dans leurs quotités s'agissant des montants facturés par l'étude d'avocats. Il s'est donc exprimé sur des faits réels. De plus, de par sa fonction, il poursuivait en agissant ainsi un but légitime de protection de l'intérêt public, s'agissant notamment de la réputation des D______ [INSTITUTION DE DROIT PUBLIC ] et ses propos, certes sans nuance, étaient en adéquation avec les buts d'intérêt public poursuivis. Il en résulte que les faits dénoncés étaient conformes à la vérité et que le prévenu avait des raisons sérieuses de les tenir, de bonne foi, pour avérés, et un intérêt légitime à les tenir. Partant, la preuve de sa bonne foi étant d'entrée de cause manifeste, il n'était pas nécessaire que le Ministère public procédât à l'audition des mis en cause. La probabilité de son acquittement étant, en outre, bien plus vraisemblable que sa condamnation, son renvoi en jugement ne se justifiait pas. Le recours est dès lors infondé.</w:t>
      </w:r>
    </w:p>
    <w:p>
      <w:r>
        <w:rPr>
          <w:b/>
        </w:rPr>
        <w:t>E. 5</w:t>
      </w:r>
    </w:p>
    <w:p>
      <w:r>
        <w:t>Les recourants, qui succombent, supporteront chacun pour moitié les frais envers l'État, qui seront fixés en totalité à CHF 2'000.- et comprendront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