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P/47/2015 vom 21. August 2017</w:t>
      </w:r>
    </w:p>
    <w:p>
      <w:r>
        <w:t>GE Cour de justice, 2017-08-21, FR</w:t>
      </w:r>
    </w:p>
    <w:p>
      <w:r>
        <w:rPr>
          <w:b/>
        </w:rPr>
        <w:t xml:space="preserve">Quelle: </w:t>
      </w:r>
      <w:r>
        <w:t>https://mcp.opencaselaw.ch/entscheid/ge_gerichte_P_47_2015</w:t>
      </w:r>
    </w:p>
    <w:p>
      <w:r>
        <w:t>FR: GE_GERICHTE P/47/2015 du 21 août 2017</w:t>
      </w:r>
    </w:p>
    <w:p>
      <w:r>
        <w:t>IT: GE_GERICHTE P/47/2015 del 21 agosto 2017</w:t>
      </w:r>
    </w:p>
    <w:p>
      <w:pPr>
        <w:pStyle w:val="Heading2"/>
      </w:pPr>
      <w:r>
        <w:t>Regeste</w:t>
      </w:r>
    </w:p>
    <w:p>
      <w:r>
        <w:t>SÉJOUR ILLÉGAL; FRAIS JUDICIAIRES; FIXATION DE LA PEINE; PEINE PRIVATIVE DE LIBERTÉ; CONCOURS D'INFRACTIONS ; MESURE D'ÉLOIGNEMENT(EN GÉNÉRAL) | LEtr.115; LEtr.119; CP.41; CP.47; CP.49; CPP.428</w:t>
      </w:r>
    </w:p>
    <w:p>
      <w:pPr>
        <w:pStyle w:val="Heading2"/>
      </w:pPr>
      <w:r>
        <w:t>Erwägungen</w:t>
      </w:r>
    </w:p>
    <w:p>
      <w:r>
        <w:rPr>
          <w:b/>
        </w:rPr>
        <w:t>E. 1</w:t>
      </w:r>
    </w:p>
    <w:p>
      <w:r>
        <w:t>Un arrêt de renvoi du Tribunal fédéral lie l'autorité cantonale à laquelle la cause est renvoyée. 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335).![endif]&gt;![if&gt;</w:t>
      </w:r>
    </w:p>
    <w:p>
      <w:r>
        <w:rPr>
          <w:b/>
        </w:rPr>
        <w:t>E. 2.1</w:t>
      </w:r>
    </w:p>
    <w:p>
      <w:r>
        <w:t>L'art. 119 al. 1 LEtr sanctionne quiconque enfreint une assignation à un lieu de résidence ou une interdiction de pénétrer dans une région déterminée (art. 74 LEtr).![endif]&gt;![if&gt; Le juge peut renoncer à poursuivre l'étranger, à le renvoyer devant le tribunal ou à lui infliger une peine si le renvoi ou l'expulsion peut être exécuté immédiatement ou s'il a été placé en détention en phase préparatoire ou en vue du renvoi ou de l'expulsion (art. 119 al. 2 LEtr).</w:t>
      </w:r>
    </w:p>
    <w:p>
      <w:r>
        <w:rPr>
          <w:b/>
        </w:rPr>
        <w:t>E. 2.2</w:t>
      </w:r>
    </w:p>
    <w:p>
      <w:r>
        <w:t>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(arrêts du Tribunal fédéral 6B_931/2016 du 6 juin 2017 consid. 2.3 ; 6B_366/2016 du 15 mai 2017 consid. 2 destiné à la publication ; 6B_1189/2015 du 13 octobre 2016 consid. 2.1 ; 6B_320/2013 du 29 août 2013 consid. 3).![endif]&gt;![if&gt; A ce sujet, compte tenu des objectifs visés par la Directive sur le retour (notamment fixer des règles communes applicables au retour et à l'éloignement des ressortissants d'Etats tiers en séjour irrégulier), il y a lieu de distinguer la violation d'une interdiction de périmètre prononcée en lien avec la mise en œuvre du renvoi (art. 119 cum art. 74 al. 1 let. b et c LEtr) de celle prononcée en raison du comportement de l'intéressé troublant ou menaçant la sécurité et l'ordre public (art. 119 cum art. 74 al. 1 let. a LEtr). Alors que la première hypothèse demeure soumise à la Directive sur le retour en vertu de la jurisprudence européenne et fédérale, la seconde, ayant violé une mesure visant à protéger en priorité la sécurité et l'ordre public, en particulier en matière de stupéfiants (cf. notamment arrêt du Tribunal fédéral 2C_197/2013 du 31 juillet 2013 consid. 3.1) est soustraite au champ d'application de la Directive. En effet, dans cette dernière configuration, l'interdiction de périmètre n'est pas liée à la procédure de renvoi visée par la Directive sur le retour (arrêt du Tribunal fédéral 6B_366/2016 du 15 mai 2017 consid. 2.6.2 destiné à la publication).</w:t>
      </w:r>
    </w:p>
    <w:p>
      <w:r>
        <w:rPr>
          <w:b/>
        </w:rPr>
        <w:t>E. 2.2.5</w:t>
      </w:r>
    </w:p>
    <w:p>
      <w:r>
        <w:t>; J. FRANCEY, Le concours rétrospectif (art. 49 al. 2 CP) , in LawInside, 31 août 2016, http://www.lawinside.ch/304/ [25.07.17]).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AARP/467/2016 du 18 novembre 2016 consid. 3.3.2 ; J. FRANCEY, op. cit. ).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complémentaire(ATF 142 IV 265 consid. 2.4.4 ; AARP/467/2016 du 18 novembre 2016 consid. 3.3.2 ; J. FRANCEY, op. cit. ).</w:t>
      </w:r>
    </w:p>
    <w:p>
      <w:r>
        <w:rPr>
          <w:b/>
        </w:rPr>
        <w:t>E. 2.3</w:t>
      </w:r>
    </w:p>
    <w:p>
      <w:r>
        <w:t>L'art. 115 al. 1 let. b LEtr sanctionne quiconque séjourne illégalement en Suisse, notamment après l'expiration de la durée du séjour non soumis à autorisation ou du séjour autorisé. En cas d'exécution immédiate du renvoi ou de l'expulsion, le juge peut renoncer à poursuivre l'étranger sorti ou entré illégalement, à le renvoyer devant le tribunal ou à lui infliger une peine.![endif]&gt;![if&gt;</w:t>
      </w:r>
    </w:p>
    <w:p>
      <w:r>
        <w:rPr>
          <w:b/>
        </w:rPr>
        <w:t>E. 3.1</w:t>
      </w:r>
    </w:p>
    <w:p>
      <w:r>
        <w:t>En l'espèce, il est acquis aux débats que l'intimé a séjourné illégalement en Suisse du 3 septembre 2014 au 7 avril 2015. La suspension des renvois de demandeurs d'asile déboutés vers la Guinée du 21 octobre 2014 au 19 août 2015 ne conduisait pas à une impossibilité objective de retour, puisqu'un retour volontaire était envisageable, ce que l'intimé avait admis. En tout état, l'intimé n'avait pas exposé en quoi la situation en Guinée constituerait un danger imminent impossible à détourner autrement qu'en séjournant illégalement sur le territoire suisse. Liée au surplus par les considérants de renvoi du Tribunal fédéral, la CPAR reconnaît l'intimé coupable de séjour illégal au sens de l'art. 115 al. 1 let. b LEtr. Le jugement attaqué sera réformé sur ce point.![endif]&gt;![if&gt; 3.2.1. Par ailleurs, il est établi et non contesté que, les 5 février et 6 avril 2015, l'intimé se trouvait sur le territoire genevois, alors qu'il savait faire l'objet d'une interdiction d'y pénétrer, entrée en force, faute d'opposition. Les conditions d'application de l'art. 119 al. 1 LEtr sont dès lors réalisées, aucun motif d'exemption de peine au sens de l'art. 119 al. 2 LEtr n'ayant été retenu. La CPAR étant en outre liée par les motifs de l'arrêt de renvoi du Tribunal fédéral, elle confirme le verdict de culpabilité pour violation de l'interdiction de pénétrer dans une région déterminée au sens de l'art. 119 al. 1 LEtr.![endif]&gt;![if&gt; 3.2.2. La décision d'interdiction de pénétrer sur le territoire genevois a été prononcée en raison du comportement de l'intéressé troublant ou menaçant la sécurité et l'ordre public. Dès lors, conformément à l'arrêt de renvoi du Tribunal fédéral, l'intimé est soustrait à l'application de la Directive sur le retour. Le prononcé d'une sanction pour séjour illégal (art. 115 al. 1 let. b LEtr) et non-respect d'une interdiction de pénétrer dans une région déterminée (art. 119 al. 1 LEtr) dans le cas d'espèce n'est pas contraire à celle-ci. Une condamnation à une peine privative de liberté, alors que la procédure administrative n'avait pas été menée jusqu'à son terme n'est, en l'occurrence, pas non plus contraire à la Directive sur le retour. ![endif]&gt;![if&gt;</w:t>
      </w:r>
    </w:p>
    <w:p>
      <w:r>
        <w:rPr>
          <w:b/>
        </w:rPr>
        <w:t>E. 4.1</w:t>
      </w:r>
    </w:p>
    <w:p>
      <w:r>
        <w:t>A teneur de l'art. 115 al. 1 let. b LEtr, le séjour illégal est puni par une peine privative de liberté d'un an au plus ou d'une peine pécuniaire. L'art. 119 al. 1 LEtr réprime la violation d'une interdiction de pénétrer dans une région déterminée d'une peine privative de liberté de trois ans au plus ou d'une peine pécuniaire.![endif]&gt;![if&gt;</w:t>
      </w:r>
    </w:p>
    <w:p>
      <w:r>
        <w:rPr>
          <w:b/>
        </w:rPr>
        <w:t>E. 4.2</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et 6B_1249/2014 du 7 septembre 2015 consid. 1.2).</w:t>
      </w:r>
    </w:p>
    <w:p>
      <w:r>
        <w:rPr>
          <w:b/>
        </w:rPr>
        <w:t>E. 4.3</w:t>
      </w:r>
    </w:p>
    <w:p>
      <w:r>
        <w:t>Le séjour illégal au sens de l'art. 115 al. 1 let. b LEtr est un délit de durée, un délit continu. L'infraction est achevée au moment où le séjour prend fin (ATF 135 IV 6 consid. 3.2).![endif]&gt;![if&gt;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w:t>
      </w:r>
    </w:p>
    <w:p>
      <w:r>
        <w:rPr>
          <w:b/>
        </w:rPr>
        <w:t>E. 4.4</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![endif]&gt;![if&gt;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 7 septembre 2015 consid. 1.2).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4.5</w:t>
      </w:r>
    </w:p>
    <w:p>
      <w:r>
        <w:t>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5).![endif]&gt;![if&gt;</w:t>
      </w:r>
    </w:p>
    <w:p>
      <w:r>
        <w:rPr>
          <w:b/>
        </w:rPr>
        <w:t>E. 4.6</w:t>
      </w:r>
    </w:p>
    <w:p>
      <w:r>
        <w:t>D'après l'art. 49 al. 1 CP, si, en raison d'un ou de plusieurs actes, l'auteur remplit les conditions de plusieurs peines de même genre, le juge le condamne à la peine de l'infraction la plus grave et l'augmente dans une juste proportion.![endif]&gt;![if&gt;</w:t>
      </w:r>
    </w:p>
    <w:p>
      <w:r>
        <w:rPr>
          <w:b/>
        </w:rPr>
        <w:t>E. 4.7</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2.3.1 ; ATF 141 IV 61 consid. 6.1.2 p. 67 ; ATF 138 IV 113 consid. 3.4.1 p. 115 et les références citées).![endif]&gt;![if&gt; Pour fixer la peine complémentaire, le juge doit estimer la peine globale de l'auteur, comme s'il devait apprécier en même temps l'ensemble des faits, soit ceux du premier jugement et ceux du jugement actuel . Bien que le deuxième tribunal doive fixer la peine globale, il ne peut pas revoir la peine de base, à savoir celle du premier jugement, même s'il estime que les premiers faits justifiaient une peine plus sévère ou moins sévère. Dans le cas contraire, il enfreindrait la force de chose jugée de la première décision (ATF 142 IV 265 consid. 2.3 et 2.4 ; AARP/467/2016 du 18 novembre 2016 consid. 3.3.2 ; AARP/450/2016 du 9 novembre 2016 consid.</w:t>
      </w:r>
    </w:p>
    <w:p>
      <w:r>
        <w:rPr>
          <w:b/>
        </w:rPr>
        <w:t>E. 5</w:t>
      </w:r>
    </w:p>
    <w:p>
      <w:r>
        <w:t>En l'espèce, la faute de l'intimé n'est pas légère. Nonobstant les décisions de nature administrative ou pénale dont il est frappé, il demeure en Suisse et contrevient à l'interdiction de périmètre genevois. Ce faisant, il fait preuve de désinvolture à l'égard de la législation sur les étrangers et de la préoccupation relative à la protection de l'ordre public qui a présidé au prononcé de ladite interdiction. La période pénale est de sept mois pour le séjour illégal, de deux jours pour la violation de l'interdiction de périmètre. L'intimé n'a pas évoqué de regrets, ni donné le moindre signe de ce qu'il entendait modifier son comportement à l'avenir. Sa situation personnelle est précaire, découlant de son statut de clandestin. L'intimé a cinq antécédents spécifiques s'agissant du séjour illégal.![endif]&gt;![if&gt; Les conditions d'une exemption de peine au sens des art. 115 al. 4 et 119 al. 2 LEtr ne sont manifestement pas réalisées. Le pronostic est défavorable, la réitération étant assurée, dans la mesure où l'intimé a déclaré persister à refuser toute collaboration à son renvoi dans son pays d'origine. Dans ces circonstances, l'octroi du sursis, dont l'intimé a d'ailleurs déjà bénéficié, sans succès, est exclu. De même, le prononcé d'une peine pécuniaire n'apparaît pas approprié, cette mesure n'étant pas susceptible d'avoir d'effet dissuasif. La peine doit donc revêtir la forme d'une courte peine privative de liberté ferme. La condamnation du 6 avril 2016 est postérieure aux faits poursuivis dans la présente procédure. Il y a dès lors un concours d'infractions rétrospectif, l'infraction la plus grave étant celle de brigandage, ce qui justifie d'augmenter la peine dans une juste proportion. Il ressort du casier judiciaire de l'intimé qu'il a fait l'objet de quatre condamnations, les 1 er mars, 21 mars et 17 mai 2013, et le 30 octobre 2014, portant sur le séjour illégal, sanctionnées globalement par 205 jours-amende, équivalant à une peine privative de liberté de même durée ( AARP/384/2015 du 6 août 2015). A cela s'ajoute la part de la peine infligée pour séjour illégal en concours avec d'autres infractions. Selon son appréciation et en fonction de la période pénale considérée, la CPAR évalue à 60 jours la part liée au séjour illégal de la sanction de 180 jours de peine privative de liberté, prononcée le 16 avril 2013. Aussi, la CPAR retient que la durée des peines infligées à l'intimé pour ce chef d'infraction correspond désormais à 265 jours, soit un total en deçà de la peine menace prévue par la loi. Par conséquent, le plafond fixé par la jurisprudence n'est pas encore atteint. Une peine privative de liberté de trois mois, complémentaire à celle prononcée le</w:t>
      </w:r>
    </w:p>
    <w:p>
      <w:r>
        <w:rPr>
          <w:b/>
        </w:rPr>
        <w:t>E. 6</w:t>
      </w:r>
    </w:p>
    <w:p>
      <w:r>
        <w:t>Selon l'art. 429 al. 1 let. c CPP, le prévenu acquitté a droit à une réparation du tort moral subi en raison d'une atteinte particulièrement grave à sa personnalité. Tel est notamment le cas lors d'une détention injustifiée, dont le montant doit être fixé en fonction de la gravité de l'atteinte portée à la personnalité (art. 49 al. 1 CO ; ATF 135 IV 43 consid. 4.1 p. 47 ; 113 IV 93 consid. 3a p. 98).![endif]&gt;![if&gt; Au vu des condamnations prononcées, il n'y a plus lieu de considérer que l'intimé a subi une détention injustifiée. Les 23 jours de détention seront déduits de la peine fixée ci-dessus (art. 51 CP). Dès lors, aucune indemnisation ne saurait être accordée à l'intimé.</w:t>
      </w:r>
    </w:p>
    <w:p>
      <w:r>
        <w:rPr>
          <w:b/>
        </w:rPr>
        <w:t>E. 7</w:t>
      </w:r>
    </w:p>
    <w:p>
      <w:r>
        <w:t>La compensation des frais avec les montants séquestrés de CHF 160.- et CHF 11.40 ordonnée par la CPAR le 25 février 2016 n'a pas été contestée. Etant justifiée, il n'y a plus lieu de l'examiner dans le présent arrêt. ![endif]&gt;![if&gt;</w:t>
      </w:r>
    </w:p>
    <w:p>
      <w:r>
        <w:rPr>
          <w:b/>
        </w:rPr>
        <w:t>E. 8</w:t>
      </w:r>
    </w:p>
    <w:p>
      <w:r>
        <w:t>Le MP obtenant en grande partie gain de cause, l'intimé sera condamné aux deux tiers des frais de l'ensemble de la procédure (art. 426 al. 1 et 428 al. 1 CPP), ceux d'appel comprenant dans leur totalité un émolument de CHF 1'500.-. Le solde sera laissé à la charge de l'Etat de Genève. ![endif]&gt;![if&gt;</w:t>
      </w:r>
    </w:p>
    <w:p>
      <w:r>
        <w:rPr>
          <w:b/>
        </w:rPr>
        <w:t>E. 9</w:t>
      </w:r>
    </w:p>
    <w:p>
      <w:r>
        <w:t>Par souci de clarté, le dispositif du jugement entrepris sera entièrement annulé et reformulé.![endif]&gt;![if&gt;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