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P/4775/2014 vom 16. April 2019</w:t>
      </w:r>
    </w:p>
    <w:p>
      <w:r>
        <w:t>GE Cour de justice, 2019-04-16, FR</w:t>
      </w:r>
    </w:p>
    <w:p>
      <w:r>
        <w:rPr>
          <w:b/>
        </w:rPr>
        <w:t xml:space="preserve">Quelle: </w:t>
      </w:r>
      <w:r>
        <w:t>https://mcp.opencaselaw.ch/entscheid/ge_gerichte_P_4775_2014</w:t>
      </w:r>
    </w:p>
    <w:p>
      <w:r>
        <w:t>FR: GE_GERICHTE P/4775/2014 du 16 avril 2019</w:t>
      </w:r>
    </w:p>
    <w:p>
      <w:r>
        <w:t>IT: GE_GERICHTE P/4775/2014 del 16 aprile 2019</w:t>
      </w:r>
    </w:p>
    <w:p>
      <w:pPr>
        <w:pStyle w:val="Heading2"/>
      </w:pPr>
      <w:r>
        <w:t>Regeste</w:t>
      </w:r>
    </w:p>
    <w:p>
      <w:r>
        <w:t>DOMMAGE MATÉRIEL ; VOL(DROIT PÉNAL) ; CONCOURS D'INFRACTIONS | CP.139.al1; CP.144.al1; CP.186; CP.49; CP.89.al6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.1.3. L'art. 139 ch. 1 CP réprime le comportement de celui qui, pour se procurer ou procurer à un tiers un enrichissement illégitime, aura soustrait une chose mobilière appartenant à autrui dans le but de se l'approprier. 2.1.4. Selon l'art. 144 al. 1 CP, se rend coupable de dommages à la propriété celui qui aura endommagé, détruit ou mis hors d'usage une chose appartenant à autrui ou frappée d'un droit d'usage ou d'usufruit au bénéfice d'autrui. 2.1.5. L'infraction de violation de domicile (art. 186 CP) sanctionne, sur plainte, celui qui d'une manière illicite et contre la volonté de l'ayant droit aura pénétré dans une maison, dans une habitation, dans un local fermé faisant partie d'une maison, dans un espace, cour ou jardin clos et attenant à une maison, ou dans un chantier.</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3.2.2.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(Asperationsprinzip) (ATF 127 IV 101 consid. 2b p. 104 ; ATF 93 IV 7 ; ATF 116 IV 300 consid. 2c/dd p. 305 ; ATF 144 IV 217 consid. 3.5 ; arrêt du Tribunal fédéral 6B_1216/2017 du 11 juin 2018 consid. 1.1.1), en tenant là aussi compte de toutes les circonstances y relatives (arrêts du Tribunal fédéral 6B_1175/2017 du 11 avril 2018 consid. 2.1 in medio ; 6B_688/2014 du 22 décembre 2017 consid. 27.2.1). 3.2.3.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3.2.4.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A teneur de l'art. 89 al. 6 CP, si, en raison de la nouvelle infraction, les conditions d'une peine privative de liberté ferme sont réunies et que celle-ci entre en concours avec le solde de la peine devenu exécutoire en raison de la révocation, le juge prononce une peine d'ensemble, en vertu de l'art. 49 al. 1 CP</w:t>
      </w:r>
    </w:p>
    <w:p>
      <w:r>
        <w:rPr>
          <w:b/>
        </w:rPr>
        <w:t>E. 2.2</w:t>
      </w:r>
    </w:p>
    <w:p>
      <w:r>
        <w:t>. En l'espèce, il est établi que l'appelant a été arrêté en possession de bijoux dont certains provenaient du cambriolage commis la veille à F______ au préjudice de E______ et D______. Il se trouvait alors devant un commerce de revente d'or à K______. L'appelant conteste être l'auteur de ce cambriolage, soutenant avoir pris possession desdits bijoux auprès d'un dénommé L______, ou, selon ses déclarations devant la Cour, d'un dénommé P______. Les explications qu'il donne ne sont cependant pas crédibles, même à supposer que L______ et P______ ne soient en réalité qu'une seule et même personne. D'une part, l'appelant a passablement varié dans ses déclarations, affirmant dans un premier temps avoir rencontré L______ sur la place 4______ où il aurait pris possession des bijoux, puis avoir en fait accompagné L______ à son domicile pour y prendre les bijoux. Il a également varié sur ses liens avec L______, expliquant tout d'abord l'avoir rencontré sur la place 4______, puis savoir qu'il était divorcé, puis qu'il le connaissait en réalité depuis un mois et demi, avant d'affirmer finalement devant la CPAR qu'il le connaissait depuis 2013. D'autre part, il est difficile de suivre l'appelant dans ses explications sur son rôle d'intermédiaire et traducteur avec un acheteur francophone que L______ serait allé chercher, étant rappelé que lors de son arrestation, l'appelant se trouvait précisément devant un commerce spécialisé dans le rachat d'or, ce qui apparaît comme une coïncidence extraordinaire. S'y ajoute le fait que si P______ vivait lui aussi en Suisse depuis - à tout le moins - 2013, ses connaissances en français devaient être a priori aussi bonnes que celles de l'appelant de sorte qu'on ne voit pas très bien pourquoi ce dernier devait officier comme traducteur. S'y ajoute enfin le fait que l'appelant n'a donné aucune explication sur la raison qui aurait amené L______ ou P______ à se dessaisir à son profit des bijoux le temps d'aller chercher son acheteur. Il appert ainsi que l'appelant, devant un certain nombre d'éléments à charge, ne donne aucune explication étayée ni même plausible sur l'origine des bijoux. Il ressort en outre du dossier que l'appelant, qui a déjà été condamné à de réitérées reprises pour des cambriolages, certes commis en 2013 et 2014, de façon régulière jusqu'à sa mise en détention de 2014, a précisément vécu pendant cette période dans la région de F______ où le cambriolage en cause a été commis. Au vu de ce qui précède, la signification exacte des termes utilisés lors de la conversation téléphonique enregistrée en prison pourra rester indécise. Ainsi, le verdict de culpabilité prononcé par le premier juge est confirmé.</w:t>
      </w:r>
    </w:p>
    <w:p>
      <w:r>
        <w:rPr>
          <w:b/>
        </w:rPr>
        <w:t>E. 3.1</w:t>
      </w:r>
    </w:p>
    <w:p>
      <w:r>
        <w:t>La réforme du droit des sanctions entrée en vigueur le 1er janvier 2018 marque un durcissement du droit des sanctions et est ainsi, en principe, moins favorable à la personne condamnée (M. DUPUIS et al., op. cit., n. 6 ad art. 34 à 41 CP). En l'occurrence, il sera fait application du droit en vigueur jusqu'au 31 décembre 2017, d'autant plus que la peine à fixer concerne pour partie des infractions commises avant cette date.</w:t>
      </w:r>
    </w:p>
    <w:p>
      <w:r>
        <w:rPr>
          <w:b/>
        </w:rPr>
        <w:t>E. 3.3</w:t>
      </w:r>
    </w:p>
    <w:p>
      <w:r>
        <w:t>En l'espèce, il y a lieu de fixer la peine relative au vol commis en 2018, comme étant l'infraction la plus grave. La faute de l'appelant n'est pas négligeable. Son mobile relève de l'appât du gain facile, et il a agi dans le mépris des biens d'autrui. Sa collaboration à la procédure doit être considérée comme mauvaise, dans la mesure où il a contesté ce vol, se justifiant au moyen d'explications fluctuantes au fil de la procédure. Il a huit antécédents, en large partie spécifiques, et démontre ainsi être jusqu'ici totalement imperméable à l'effet dissuasif des précédentes peines prononcées à son encontre. Il a récidivé alors qu'il se trouvait dans le délai d'épreuve lié à sa seconde libération conditionnelle. Enfin, rien dans sa situation personnelle ne peut justifier les actes commis. Seule une peine privative de liberté est aujourd'hui envisageable, l'appelant ne concluant à juste titre pas au prononcé d'un autre genre de peine. Il convient en outre d'aggraver la peine à fixer pour tenir compte du concours avec les infractions de dommages à la propriété et de violation de domicile, ainsi que pour les infractions non contestées en matière de séjour des étrangers. Au vu de ce qui précède, une peine privative de liberté de 6 mois pour les faits commis après sa dernière condamnation paraît appropriée. Les faits commis avant cette dernière condamnation, admis par l'appelant sur la base d'une trace ADN, doivent donner lieu à une peine complémentaire aux condamnations prononcées après la date de leur commission, dont la quotité sera très faible. Enfin, il y a lieu de faire application de l'art. 89 al. 1 CP et de révoquer la libération conditionnelle accordée le 17 octobre 2017 par le Service de l'exécution des sanctions pénales et de la probation de Fribourg (peine restante 248 jours). Au vu de ce qui précède, la peine privative de liberté d'ensemble de 14 mois prononcée par le premier juge est appropriée et conforme au droit de sorte que l'appel sera également rejeté sur ce point.</w:t>
      </w:r>
    </w:p>
    <w:p>
      <w:r>
        <w:rPr>
          <w:b/>
        </w:rPr>
        <w:t>E. 4</w:t>
      </w:r>
    </w:p>
    <w:p>
      <w:r>
        <w:t>2. En l'espèce, l'appelant ayant été reconnu coupable de vol avec violation de domicile pour des faits commis après l'entrée en vigueur de cette disposition, l'expulsion doit être prononcée, le cas de rigueur de l'art. 66a al. 2 CP n'ayant à juste titre pas été plaidé. La durée de l'expulsion fixée par le premier juge au minimum légal de cinq ans est adéquate et sera, partant, confirmée.</w:t>
      </w:r>
    </w:p>
    <w:p>
      <w:r>
        <w:rPr>
          <w:b/>
        </w:rPr>
        <w:t>E. 4.1</w:t>
      </w:r>
    </w:p>
    <w:p>
      <w:r>
        <w:t>Selon l'art. 66a let. d CP, le juge expulse de Suisse l'étranger qui est condamné pour un vol en lien avec une violation de domicile, quelle que soit la quotité de la peine prononcée à son encontre, pour une durée de cinq à 15 ans.</w:t>
      </w:r>
    </w:p>
    <w:p>
      <w:r>
        <w:rPr>
          <w:b/>
        </w:rPr>
        <w:t>E. 5</w:t>
      </w:r>
    </w:p>
    <w:p>
      <w:r>
        <w:t>La détention préventive subie à ce jour n'excède pas la peine de 14 mois présentement prononcée de sorte que l'appelant ne saurait prétendre à quelconque indemnisation au titre de détention injustifiée (art. 429 CPP). Ses conclusions dans ce sens seront partant rejetées.</w:t>
      </w:r>
    </w:p>
    <w:p>
      <w:r>
        <w:rPr>
          <w:b/>
        </w:rPr>
        <w:t>E. 6</w:t>
      </w:r>
    </w:p>
    <w:p>
      <w:r>
        <w:t>Les motifs ayant conduit le premier juge à prononcer, par ordonnance séparée du 23 août 2018, le maintien de l'appelant, en détention pour des motifs de sûreté sont toujours d'actualité, de sorte que la mesure sera reconduite mutatis mutandis (ATF 139 IV 277 consid. 2.2 à 2.3).</w:t>
      </w:r>
    </w:p>
    <w:p>
      <w:r>
        <w:rPr>
          <w:b/>
        </w:rPr>
        <w:t>E. 7</w:t>
      </w:r>
    </w:p>
    <w:p>
      <w:r>
        <w:t>Enfin, l'appelant, qui succombe, supportera les frais de la procédure envers l'État (art. 428 CPP), comprenant un émolument de CHF 1'500.-, la mise à sa charge des frais de première instance étant par ailleurs confirmée (art. 426 CPP).</w:t>
      </w:r>
    </w:p>
    <w:p>
      <w:r>
        <w:rPr>
          <w:b/>
        </w:rPr>
        <w:t>E. 8</w:t>
      </w:r>
    </w:p>
    <w:p>
      <w:r>
        <w:t>Considéré globalement, l'état de frais produit par le défenseur d'office de l'appelant paraît adéquat et conforme aux dispositions et principes régissant l'assistance judiciaire pénale. Sa rémunération sera ainsi arrêtée à CHF 2'951.- pour 12 heures d'activité au tarif de CHF 200.-/heure (CHF 2'400.-), plus la majoration forfaitaire de 10% compte tenu de l'activité déployée sur l'ensemble de la procédure (CHF 240.-), ainsi qu'un forfait d'office pour une vacation par le chef d'étude (CHF 100.-) et la TVA de 7,7% (CHF 211.-).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