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P/4755/2023 vom 9. Mai 2025</w:t>
      </w:r>
    </w:p>
    <w:p>
      <w:r>
        <w:t>GE Cour de justice, 2025-05-09, FR</w:t>
      </w:r>
    </w:p>
    <w:p>
      <w:r>
        <w:rPr>
          <w:b/>
        </w:rPr>
        <w:t xml:space="preserve">Quelle: </w:t>
      </w:r>
      <w:r>
        <w:t>https://mcp.opencaselaw.ch/entscheid/ge_gerichte_P_4755_2023</w:t>
      </w:r>
    </w:p>
    <w:p>
      <w:r>
        <w:t>FR: GE_GERICHTE P/4755/2023 du 9 mai 2025</w:t>
      </w:r>
    </w:p>
    <w:p>
      <w:r>
        <w:t>IT: GE_GERICHTE P/4755/2023 del 9 maggio 2025</w:t>
      </w:r>
    </w:p>
    <w:p>
      <w:pPr>
        <w:pStyle w:val="Heading2"/>
      </w:pPr>
      <w:r>
        <w:t>Regeste</w:t>
      </w:r>
    </w:p>
    <w:p>
      <w:r>
        <w:t>CLASSEMENT DE LA PROCÉDURE;DROIT D'ÊTRE ENTENDU;GESTION DÉLOYALE;ESCROQUERIE;TROMPERIE;AUGMENTATION DE CAPITAL;PRÊT DE CONSOMMATION;ABUS DE CONFIANCE | CPP.319; CP.146; CP.138; CP.158; Cst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Justifiée, l'ordonnance querellée sera donc confirmée.</w:t>
      </w:r>
    </w:p>
    <w:p>
      <w:r>
        <w:rPr>
          <w:b/>
        </w:rPr>
        <w:t>E. 5</w:t>
      </w:r>
    </w:p>
    <w:p>
      <w:r>
        <w:t>Vu l'issue du recours, il n'était pas nécessaire de recueillir les observations de C______.</w:t>
      </w:r>
    </w:p>
    <w:p>
      <w:r>
        <w:rPr>
          <w:b/>
        </w:rPr>
        <w:t>E. 6</w:t>
      </w:r>
    </w:p>
    <w:p>
      <w:r>
        <w:t>Quand bien même la recourante succombe sur le fond, la décision attaquée a été rendue en violation du droit d'être entendu – le Ministère public ayant omis de statuer sur l'infraction d'escroquerie –, de sorte que sa contestation était justifiée sur ce point (cf. arrêt du Tribunal fédéral 7B_512/2023 du 30 septembre 2024 consid. 3.1). Il en résulte que les frais de l'instance de recours, arrêtés à CHF 1'200.- (art. 13 al. 1 du Règlement fixant le tarif des frais en matière pénale, RTFMP; E 4 10.03), seront mis à sa charge à raison de deux-tiers, soit CHF 800.-.</w:t>
      </w:r>
    </w:p>
    <w:p>
      <w:r>
        <w:rPr>
          <w:b/>
        </w:rPr>
        <w:t>E. 7</w:t>
      </w:r>
    </w:p>
    <w:p>
      <w:r>
        <w:t>Corrélativement, la recourante a droit à des dépens en lien avec l'activité pour laquelle elle a obtenu gain de cause (cf. ATF 125 II 518 consid. 5; arrêt du Tribunal fédéral 6B_439/2012 du 2 octobre 2012 consid. 2). Elle conclut au total à une indemnité de CHF 3'150.-, correspondant à 9h d'activité au tarif horaire de CHF 350.-, pour la rédaction du recours. Compte tenu de l'admission de l'unique grief d'une violation du droit d'être entendu et des développements de la recourante à cet égard, tenant sur une page et demi, une indemnité de CHF 567.55, correspondant à 1h30 d'activité au tarif horaire réclamé, plus la TVA à 8.1%, lui sera allouée.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