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P/4749/2022 vom 10. November 2022</w:t>
      </w:r>
    </w:p>
    <w:p>
      <w:r>
        <w:t>GE Cour de justice, 2022-11-10, FR</w:t>
      </w:r>
    </w:p>
    <w:p>
      <w:r>
        <w:rPr>
          <w:b/>
        </w:rPr>
        <w:t xml:space="preserve">Quelle: </w:t>
      </w:r>
      <w:r>
        <w:t>https://mcp.opencaselaw.ch/entscheid/ge_gerichte_P_4749_2022</w:t>
      </w:r>
    </w:p>
    <w:p>
      <w:r>
        <w:t>FR: GE_GERICHTE P/4749/2022 du 10 novembre 2022</w:t>
      </w:r>
    </w:p>
    <w:p>
      <w:r>
        <w:t>IT: GE_GERICHTE P/4749/2022 del 10 novembre 2022</w:t>
      </w:r>
    </w:p>
    <w:p>
      <w:pPr>
        <w:pStyle w:val="Heading2"/>
      </w:pPr>
      <w:r>
        <w:t>Regeste</w:t>
      </w:r>
    </w:p>
    <w:p>
      <w:r>
        <w:t>ORDONNANCE DE NON-ENTRÉE EN MATIÈRE;LÉSION CORPORELLE PAR NÉGLIGENCE;ACCIDENT DE LA CIRCULATION;PRIORITÉ(CIRCULATION) | CP.125; LCR.26; LCR.36.al4; CPP.310</w:t>
      </w:r>
    </w:p>
    <w:p>
      <w:pPr>
        <w:pStyle w:val="Heading2"/>
      </w:pPr>
      <w:r>
        <w:t>Erwägungen</w:t>
      </w:r>
    </w:p>
    <w:p>
      <w:r>
        <w:rPr>
          <w:b/>
        </w:rPr>
        <w:t>E. 1</w:t>
      </w:r>
    </w:p>
    <w:p>
      <w:r>
        <w:t>Les recours sont recevables pour avoir été déposés selon la forme et dans le délai prescrits (art. 385 al. 1 et 396 al. 1 CPP), concerner deux ordonnances sujettes à recours auprès de la Chambre de céans (art. 393 al. 1 let. a CPP) et émaner du plaignant, respectivement prévenu, qui, partie à la procédure (art. 104 al. 1 let. a et b CPP), a qualité pour agir, ayant un intérêt juridiquement protégé à la modification ou à l'annulation des décisions querellées (art. 382 al. 1 CPP). ![endif]&gt;![if&gt;</w:t>
      </w:r>
    </w:p>
    <w:p>
      <w:r>
        <w:rPr>
          <w:b/>
        </w:rPr>
        <w:t>E. 2</w:t>
      </w:r>
    </w:p>
    <w:p>
      <w:r>
        <w:t>La connexité des recours, qui émanent de la même personne – une fois en qualité de plaignant, l'autre comme prévenu – et reposent sur des faits identiques, commande leur jonction. Il sera ainsi statué par un seul arrêt. ![endif]&gt;![if&gt;</w:t>
      </w:r>
    </w:p>
    <w:p>
      <w:r>
        <w:rPr>
          <w:b/>
        </w:rPr>
        <w:t>E. 3</w:t>
      </w:r>
    </w:p>
    <w:p>
      <w:r>
        <w:t>Le recourant reproche au Ministère public de ne pas avoir retenu l’infraction de lésions corporelles par négligence.![endif]&gt;![if&gt;</w:t>
      </w:r>
    </w:p>
    <w:p>
      <w:r>
        <w:rPr>
          <w:b/>
        </w:rPr>
        <w:t>E. 3.1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 in dubio pro duriore »,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w:t>
      </w:r>
    </w:p>
    <w:p>
      <w:r>
        <w:rPr>
          <w:b/>
        </w:rPr>
        <w:t>E. 3.2</w:t>
      </w:r>
    </w:p>
    <w:p>
      <w:r>
        <w:t>.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3.3</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arrêt du Tribunal fédéral 6B_1063/2013 du 2 septembre 2014 consid. 3.2). S'agissant d'un accident de la route, il convient de se référer aux règles de la circulation routière puis d'examiner si la négligence est en relation de causalité avec les lésions subies par la victime (ATF 122 IV 133 consid. 2a p. 135). Un comportement est la cause naturelle d'un résultat s'il en constitue l'une des conditions sine qua non , c'est-à-dire si, sans lui, le résultat ne se serait pas produit (ATF 133 IV 158 consid. 6.1 p. 167;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131 IV 145 consid. 5.1 p. 147).</w:t>
      </w:r>
    </w:p>
    <w:p>
      <w:r>
        <w:rPr>
          <w:b/>
        </w:rPr>
        <w:t>E. 3.4</w:t>
      </w:r>
    </w:p>
    <w:p>
      <w:r>
        <w:t>Selon l'art. 26 al. 1 de la loi fédérale sur la circulation routière du 19 décembre 1958 (ci-après, LCR ; RS 741.01),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 104 IV 30 ).</w:t>
      </w:r>
    </w:p>
    <w:p>
      <w:r>
        <w:rPr>
          <w:b/>
        </w:rPr>
        <w:t>E. 3.5</w:t>
      </w:r>
    </w:p>
    <w:p>
      <w:r>
        <w:t>Le conducteur qui veut engager son véhicule dans la circulation ne doit pas entraver les autres usagers de la route qui bénéficient de la priorité (art. 36 al. 4 LCR); ainsi, celui qui, sortant d'une fabrique, d'une cour, d'un garage, d'un chemin rural, d'une piste cyclable, d'une place de stationnement, d'une station d'essence, etc., ou traversant un trottoir, débouche sur une route principale ou secondaire, est tenu d'accorder la priorité aux usagers de cette route (art. 15 al. 3 OCR). En outre, selon l'art. 14 al. 1 OCR, applicable pour toutes les priorités, celui qui est tenu d'accorder la priorité ne doit pas gêner dans sa marche le conducteur bénéficiaire de la priorité (A. BUSSY / B. RUSCONI / Y. JEANNERET / A. KUHN / C. MIZEL / Ch. MÜLLER, éd., Code suisse de la circulation routière commenté , 4 è éd. 2015, n.1 ad art. 14 al. 1 OCR). Ce dernier est gêné dans sa marche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146 ).</w:t>
      </w:r>
    </w:p>
    <w:p>
      <w:r>
        <w:rPr>
          <w:b/>
        </w:rPr>
        <w:t>E. 3.6</w:t>
      </w:r>
    </w:p>
    <w:p>
      <w:r>
        <w:t>supra que le fait pour le recourant d'avoir volontairement couché son engin pourrait résulter d'une manœuvre d'évitement non fautive. Partant, les frais de la procédure ne sauraient, en l'état, lui être imputés.</w:t>
      </w:r>
    </w:p>
    <w:p>
      <w:r>
        <w:rPr>
          <w:b/>
        </w:rPr>
        <w:t>E. 4</w:t>
      </w:r>
    </w:p>
    <w:p>
      <w:r>
        <w:t>Dans son deuxième recours, le recourant reproche au Ministère public d’avoir mis à sa charge les frais de procédure. ![endif]&gt;![if&gt;</w:t>
      </w:r>
    </w:p>
    <w:p>
      <w:r>
        <w:rPr>
          <w:b/>
        </w:rPr>
        <w:t>E. 4.1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w:t>
      </w:r>
    </w:p>
    <w:p>
      <w:r>
        <w:rPr>
          <w:b/>
        </w:rPr>
        <w:t>E. 4.2</w:t>
      </w:r>
    </w:p>
    <w:p>
      <w:r>
        <w:t>En l’espèce, le Ministère public a renoncé à poursuivre le recourant pour la perte de maîtrise de son motocycle, au motif qu’il avait été directement atteint par les conséquences de son acte au point qu’une peine aurait été inappropriée (art. 54 CP). Le Procureur a toutefois décidé de lui faire supporter les frais de procédure, car il avait volontairement couché son véhicule de sorte à en perdre la maîtrise, en violation des règles de la LCR. Or, il résulte du consid.</w:t>
      </w:r>
    </w:p>
    <w:p>
      <w:r>
        <w:rPr>
          <w:b/>
        </w:rPr>
        <w:t>E. 5</w:t>
      </w:r>
    </w:p>
    <w:p>
      <w:r>
        <w:t>Fondés, les recours doivent être admis. Partant, l’ordonnance de non-entrée en matière rendue en faveur de D______ sera annulée et la cause renvoyée au Ministère public pour l’ouverture d’une instruction afin de déterminer les circonstances de l’accident. Le ch. 2 du dispostif de l’ordonnance de non-entrée en matière rendue à l’endroit de A______ sera également annulé et les frais de la procédure devant le Ministère public mis à la charge de l'État. ![endif]&gt;![if&gt;</w:t>
      </w:r>
    </w:p>
    <w:p>
      <w:r>
        <w:rPr>
          <w:b/>
        </w:rPr>
        <w:t>E. 6</w:t>
      </w:r>
    </w:p>
    <w:p>
      <w:r>
        <w:t>L’admission des recours ne donne pas lieu à la perception de frais (art. 428 al. 1 CPP). ![endif]&gt;![if&gt;</w:t>
      </w:r>
    </w:p>
    <w:p>
      <w:r>
        <w:rPr>
          <w:b/>
        </w:rPr>
        <w:t>E. 7</w:t>
      </w:r>
    </w:p>
    <w:p>
      <w:r>
        <w:t>Le recourant obtient gain de cause dans les deux recours. ![endif]&gt;![if&gt; Toutefois, dans celui où il agit en qualité de partie plaignante, il n’a pas chiffré ni justifié de prétentions en indemnité au sens de l’art. 433 al. 2 CPP, applicable en instance de recours (art. 436 al. 1 CPP), de sorte qu’il ne lui en sera point alloué. En revanche, pour le recours où il agit en qualité de prévenu, il lui sera alloué un montant de CHF 969.30.- (TVA à 7.7 % comprise) correspondant à 2h00 d’activité au tarif horaire de 450.-, ce qui paraît en adéquation avec le travail fourni, soit un recours de 9 pages (dont 2 pages de garde et de conclusions et 2 pages de développement en droit), ainsi que 2 pages de réplique, la cause ne présentant aucune complexité particulière.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