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P/4747/2018 vom 14. Mai 2020</w:t>
      </w:r>
    </w:p>
    <w:p>
      <w:r>
        <w:t>GE Cour de justice, 2020-05-14, FR</w:t>
      </w:r>
    </w:p>
    <w:p>
      <w:r>
        <w:rPr>
          <w:b/>
        </w:rPr>
        <w:t xml:space="preserve">Quelle: </w:t>
      </w:r>
      <w:r>
        <w:t>https://mcp.opencaselaw.ch/entscheid/ge_gerichte_P_4747_2018</w:t>
      </w:r>
    </w:p>
    <w:p>
      <w:r>
        <w:t>FR: GE_GERICHTE P/4747/2018 du 14 mai 2020</w:t>
      </w:r>
    </w:p>
    <w:p>
      <w:r>
        <w:t>IT: GE_GERICHTE P/4747/2018 del 14 maggio 2020</w:t>
      </w:r>
    </w:p>
    <w:p>
      <w:pPr>
        <w:pStyle w:val="Heading2"/>
      </w:pPr>
      <w:r>
        <w:t>Regeste</w:t>
      </w:r>
    </w:p>
    <w:p>
      <w:r>
        <w:t>IN DUBIO PRO REO;VOIES DE FAIT;SEQUESTRE | CPP.9; CP.126; CPP.267.al1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L'intimé conclut, à titre préjudiciel, à l'irrecevabilité de la déclaration d'appel de l'appelante, à tout le moins à ce que les pages 2 à 18 de ladite déclaration soient écartées de la procédure, dans la mesure où une telle motivation excède les réquisits de l'art. 399 al. 3 CPP (art. 339 al. 2 CPP). 2.1.2. Dans sa jurisprudence, la CPAR retient que si quelques brefs développements sont recevables, ne serait-ce que pour permettre à la direction de la procédure de choisir entre la voie orale ou écrite, au regard des exigences posées par l'art. 406 al. 1 let. a CPP, ou de se déterminer sur la pertinence de réquisition de preuves, il en va autrement du dépôt par la partie qui a fait appel d'un véritable mémoire, lequel a pour conséquence lorsqu'une procédure orale est ordonnée, de contourner le principe de l'oralité des débats (art. 66 CP ; A. KUHN/Y. JEANNERET (éds). Commentaire romand, Code de procédure pénale suisse , Bâle 2019, N. 19 ad art. 399). La question du respect du principe de l'égalité des armes (art. 6 par. 1 et 13 de la Convention de sauvegarde des droits de l'homme et des libertés fondamentales du 4 novembre 1950 [CEDH - RS 0.101]) se pose également dans un tel cas de figure, la juridiction d'appel se trouvant nantie de l'argumentaire de l'une des partie lors de la préparation de l'audience, puis pouvant s'appuyer sur cette écriture durant celle-ci et au cours de la délibération ( OARP/18/2017 du 2 mars 2017 et les références citées). Ainsi, la pratique constante de la CPAR a toujours été d'écarter les écritures dépassant le cadre de l'art. 393 al. 3 CPP si l'une des parties soulevait l'incident, étant précisé que le Tribunal fédéral ne s'est pas encore prononcé sur la question qu'il a laissée ouverte (arrêt du TF 1B_91/2015 consid. 2.4.1 du 21 avril 2015). 2.1.3. En l'espèce, la déclaration d'appel déposée par l'appelante est un mémoire comprenant motivation et argumentaire sur le fond. La procédure orale ayant été ordonnée, l'appelante a eu la possibilité de motiver ses conclusions lors des débats d'appel en présentant sa plaidoirie, si bien que le fait d'écarter la motivation de sa déclaration d'appel ne viole pas son droit d'être entendu mais rétablit l'égalité des armes et respecte le principe de l'oralité des débats. Il sera donc fait droit à la demande de l'intimé et les pages 2 (à partir du point II. EN FAIT) à 19 de la déclaration d'appel de l'appelante seront écartées de la procédure. 2.2.1. L'art. 9 CPP consacre la maxime d'accusation, laquelle découle également des art. 29 al. 2 de la Constitution fédérale de la Confédération suisse du 18 avril 1999 (Cst. - RS 101)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MP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d'information ;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MP. En d'autres termes, l'acte d'accusation doit contenir les faits qui, de l'avis du MP, correspondent à tous les éléments constitutifs de l'infraction reprochée au prévenu (ATF 143 IV 63 consid. 2.2 p. 65 ; arrêts du Tribunal fédéral 6B_665/2017 du 10 janvier 2018 consid. 1.1 ; 6B_166/2017 du 16 novembre 2017 consid. 2.1 ; 6B_275/2016 du 9 décembre 2016 consid. 2.1). 2.2.2. En l'espèce, l'appelante conclut notamment à la condamnation de l'intimé pour injures. Or, l'ordonnance pénale du 4 mars 2019 retient des faits qualifiés de lésions corporelles simples, de voies de fait et de dommage à la propriété mais non d'injures. La CPAR étant liée par l'état de fait décrit dans l'acte d'accusation (immutabilité de l'acte d'accusation), la conclusion de l'appelante portant sur la condamnation de l'intimé pour injures est irrecevable.</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2016 consid. 1.2 et 6B_748/2009 du 2 novembre 2009 consid. 2.1). 3.1.2.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3.1.3.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 AARP/114/2018 du 19 avril 2018 consid. 2.1.1).</w:t>
      </w:r>
    </w:p>
    <w:p>
      <w:r>
        <w:rPr>
          <w:b/>
        </w:rPr>
        <w:t>E. 3.2</w:t>
      </w:r>
    </w:p>
    <w:p>
      <w:r>
        <w:t>Aux termes de l'art. 126 CP, celui qui se sera livré sur une personne à des voies de fait qui n'auront causé ni lésion corporelle ni atteinte à la santé sera, sur plainte, puni d'une amende (al. 1). La poursuite aura lieu d'office si l'auteur a agi à réitérées reprises contre son conjoint durant le mariage ou dans l'année qui a suivi le divorce (al. 2 let. b CP).</w:t>
      </w:r>
    </w:p>
    <w:p>
      <w:r>
        <w:rPr>
          <w:b/>
        </w:rPr>
        <w:t>E. 3.3</w:t>
      </w:r>
    </w:p>
    <w:p>
      <w:r>
        <w:t>Les déclarations des parties sont contradictoires concernant des épisodes de violences physiques qui auraient, outre ceux retenus par le TP, eu lieu entre le mois de mai 2017 et de mars 2018, selon les allégations de l'appelante. L'intimé admet qu'il y a eu régulièrement des disputes au sein du couple mais n'ayant jamais conduit à des actes violents, à l'exception des deux épisodes retenus par le TP qu'il ne conteste pas. L'appelante explique avoir été victime d'accès de violences de la part de son époux au cours desquels celui-ci aurait déchiré ses vêtements, cassé ses bijoux et du mobilier, et lui aurait donné des coups, lui causant ainsi de nombreux hématomes. Elle n'a toutefois pas été en mesure de détailler, ni même de citer, un épisode en particulier, autre que ceux de janvier et mars 2018. Il n'existe en outre aucun élément objectif au dossier attestant de ces violences ou de leurs conséquences. L'appelante ne s'est en particulier pas confiée à des tiers ni n'a fait constater les lésions subies, que personne n'a remarquées. Si elle a déclaré dans un premier temps qu'une proche amie avait vu des marques sur son corps, celle-ci, entendue comme témoin, n'en a pas fait mention et la partie plaignante est revenue sur ses dires. Les photos qu'elle indique avoir prises auraient été effacées par son époux ; seules celles de janvier et mars 2018 ont pu être retrouvées. Or, la teneur des échanges entre le prévenu et son père versés à la procédure laisse entendre que les photos effacées par l'intimé en mars 2018 sont bien celles relatives à l'événement de janvier 2018 et non pas des photos prises ultérieurement, ce qui décrédibilise en partie les allégués de la partie plaignante. Vu qu'il ressort de la teneur des messages échangés entre l'intimé et sa famille qu'il était fait allusion à A______ en des termes méprisants, que l'intimé admet avoir restreint les contacts de son épouse, que deux épisodes de violence sont avérés et que les parties sont concordantes sur le fait qu'il y avait mensuellement des disputes au sein du couple, la CPAR ne peut écarter qu'il régnait un climat d'agressivité au sein du couple. Toutefois, en l'absence de preuve matérielle ou d'indices suffisants venant corroborer les déclarations de l'appelante, il demeure un doute insurmontable quant à l'existence de la commission de voies de fait à réitérées reprises par l'intimé à son encontre. Ainsi, les faits reprochés en liaison avec les accusations de voies de fait n'étant pas établis, la CPAR confirme l'acquittement prononcé en faveur de l'intimé.</w:t>
      </w:r>
    </w:p>
    <w:p>
      <w:r>
        <w:rPr>
          <w:b/>
        </w:rPr>
        <w:t>E. 4</w:t>
      </w:r>
    </w:p>
    <w:p>
      <w:r>
        <w:t>4.1. A teneur de l'art. 267 al. 1 CPP, si le motif du séquestre disparaît, le MP ou le tribunal a l'obligation de lever la mesure et de restituer les objets et valeurs patrimoniales à l'ayant droit.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La possibilité de statuer sur l'attribution des objets ou des valeurs patrimoniales à libérer, conférée au tribunal par l'art. 267 al. 4 CPP, n'entre en considération que lorsque la situation juridique est claire. Si tel n'est pas le cas, le tribunal doit procéder selon l'art. 257 al. 5 CPP, soit attribuer les objets ou valeurs patrimoniales concernées à un ayant droit et impartir aux autres personnes ayant émis des prétentions à cet égard un délai pour agir devant le juge civil (arrêts du Tribunal fédéral 1B_298/2014 du 21 novembre 2014 consid. 3.2 = SJ 2015 I 277 ; 6B_2/2012 du 1 er février 2013 consid. 8.4). Concernant la décision à prendre sur l'attribution d'un objet, l'autorité pénale doit s'inspirer des règles du droit civil. L'attribution au possesseur doit être envisagée en premier lieu, celui-ci étant présumé propriétaire de l'objet en vertu de l'art. 930 CC. En présence d'indications claires sur l'inexistence de ce droit réel, l'attribution doit être ordonnée en faveur de la personne qui apparaît la mieux légitimée (ATF 120 Ia 120 consid. 1b p. 122 ; arrêt du Tribunal fédéral 6B_247/2018 du 11 juin 2018 consid. 4.1).</w:t>
      </w:r>
    </w:p>
    <w:p>
      <w:r>
        <w:rPr>
          <w:b/>
        </w:rPr>
        <w:t>E. 4.2</w:t>
      </w:r>
    </w:p>
    <w:p>
      <w:r>
        <w:t>L'appelante conteste que l'intimé lui aurait donné de l'argent pour acheter le téléphone litigieux et explique avoir payé une partie dudit téléphone en espèce et l'autre sur plusieurs mois. La facture M______ produite par l'appelante corrobore ses déclarations. L'intimé n'a quant à lui jamais fait mention d'un paiement échelonné. Qui plus est, il n'est pas non plus établi qu'il travaillait lors de l'achat de ce téléphone en juin 2017 et qu'il disposait donc des fonds nécessaires pour son acquisition. A teneur du dossier, il n'est toutefois pas possible de déterminer avec certitude que les paiements ont été effectués par l'appelante, avec son propre argent, qu'elle en est propriétaire et dispose de fait d'un droit préférable. De plus, cette dernière a indiqué que l'intimé avait commencé à travailler en février 2018. Il n'est donc pas exclu qu'il ait payé une partie du téléphone dès cette date. En outre, les parties s'accordent sur le fait que l'intimé était le dernier possesseur du téléphone litigieux et ce n'est qu'en appel que l'appelante allègue pour la première fois avoir prêté ce téléphone à son époux en attendant qu'il fasse réparer le sien, alors qu'une donation serait tout-à-fait envisageable. Au vu de ces éléments, la CPAR considère que le téléphone appartenait vraisemblablement à l'intimé, qui en était le dernier possesseur et qui a pu en payer une partie dès février 2018. La situation factuelle et juridique n'apparait toutefois pas suffisamment claire aux yeux de la CPAR pour trancher définitivement le sort du téléphone litigieux. Ce dernier sera dès lors restitué à l'intimé, dernier possesseur, et un délai de 90 jours sera fixé à l'appelante pour intenter une action civile.</w:t>
      </w:r>
    </w:p>
    <w:p>
      <w:r>
        <w:rPr>
          <w:b/>
        </w:rPr>
        <w:t>E. 5</w:t>
      </w:r>
    </w:p>
    <w:p>
      <w:r>
        <w:t>Selon l'art. 428 al. 1 première phrase CPP, les frais de la procédure de recours sont mis à la charge des parties dans la mesure où elles ont obtenu gain de cause ou succombé. La partie plaignante au bénéfice de l'assistance judiciaire est toutefois dispensée des frais de la procédure (art. 136 al. 2 let. b CPP). Ainsi, vu la qualité de l'appelante, et nonobstant le fait qu'elle succombe intégralement, les frais de la procédure d'appel seront laissés à la charge de l'Etat.</w:t>
      </w:r>
    </w:p>
    <w:p>
      <w:r>
        <w:rPr>
          <w:b/>
        </w:rPr>
        <w:t>E. 6</w:t>
      </w:r>
    </w:p>
    <w:p>
      <w:r>
        <w:t>6.1.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Le travail consistant en des recherches juridiques, sauf questions particulièrement pointues, n'est pas indemnisé, l'Etat ne devant pas assumer la charge financière de la formation de l'avocat-stagiaire, laquelle incombe à son maître de stage, ou la formation continue de l'avocat breveté ( AARP/147/2016 du 17 mars 2016 consid. 7.3 ; AARP/302/2013 du 14 juin 2013).</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6.4</w:t>
      </w:r>
    </w:p>
    <w:p>
      <w:r>
        <w:t>En l'occurrence, le conseil juridique gratuit de l'appelante fait valoir 5 heures 55 minutes de recherches juridiques et de rédaction de courriers ainsi que 2 heures et 5 minutes d'activité de chef d'étude pour correction des courriers rédigés par l'avocate-stagiaire. Le temps consacré aux recherches juridiques ne sera pas pris en considération, le dossier ne posant aucune question de droit complexe et l'Etat n'ayant pas à assumer la formation de l'avocat-stagiaire. Pour ce dernier motif, l'activité du chef d'Etude ne sera pas retenue. Vu les principes énoncés précédemment, le temps consacré à la rédaction de simples courriers, déjà indemnisée par le forfait pour activités diverses, sera écarté, tout comme les 20 minutes de rédaction de l'annonce d'appel et les 20 heures et 30 minutes de rédaction de la déclaration d'appel, qui n'avait pas besoin d'être motivée et qui a été écartée de la procédure. Ces rédactions sont au surplus également couvertes par le forfait pour l'activité diverse. Enfin, les 20 heures alléguées pour analyse du dossier, préparation de l'audience d'appel et de la plaidoirie seront ramenées à 6 heures, amplement suffisantes à ce stade de la procédure, le dossier étant censé bien connu du défenseur qui venait de le plaider en première instance et, comme mentionné, ne présentant pas de difficultés juridiques particulières. En conclusion, l'indemnité due à M e B______ sera arrêtée à CHF 1'326.85, correspondant à 8 heures et 55 minutes d'activité au tarif horaire de CHF 110.- (CHF 980.85.-), plus la majoration forfaitaire de 20% (CHF 196.15), l'équivalent de la TVA au taux de 7.7% (CHF 94.85) et la vacation à l'audience d'appel (CHF 55.-).</w:t>
      </w:r>
    </w:p>
    <w:p>
      <w:r>
        <w:rPr>
          <w:b/>
        </w:rPr>
        <w:t>E. 6.5</w:t>
      </w:r>
    </w:p>
    <w:p>
      <w:r>
        <w:t>L'état de frais produit par M e E______, conseil de C______, paraît adéquat et conforme aux dispositions et principes qui précèdent, de sorte qu'il sera admis sans en reprendre le détail. En conclusion, l'indemnité sera arrêtée à CHF 1'895.50 correspondant à 6 heures et 55 minutes d'activité au tarif de CHF 200.-/heure (CHF 1'383.35) plus la majoration forfaitaire de 20% (CHF 276.65), l'équivalent de la TVA au taux de 7.7% (CHF 135.50) et la vacation à l'audience d'appel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