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P/4738/2015 vom 19. August 2019</w:t>
      </w:r>
    </w:p>
    <w:p>
      <w:r>
        <w:t>GE Cour de justice, 2019-08-19, FR</w:t>
      </w:r>
    </w:p>
    <w:p>
      <w:r>
        <w:rPr>
          <w:b/>
        </w:rPr>
        <w:t xml:space="preserve">Quelle: </w:t>
      </w:r>
      <w:r>
        <w:t>https://mcp.opencaselaw.ch/entscheid/ge_gerichte_P_4738_2015</w:t>
      </w:r>
    </w:p>
    <w:p>
      <w:r>
        <w:t>FR: GE_GERICHTE P/4738/2015 du 19 août 2019</w:t>
      </w:r>
    </w:p>
    <w:p>
      <w:r>
        <w:t>IT: GE_GERICHTE P/4738/2015 del 19 agosto 2019</w:t>
      </w:r>
    </w:p>
    <w:p>
      <w:pPr>
        <w:pStyle w:val="Heading2"/>
      </w:pPr>
      <w:r>
        <w:t>Regeste</w:t>
      </w:r>
    </w:p>
    <w:p>
      <w:r>
        <w:t>LÉSION CORPORELLE SIMPLE ; CONTRAINTE(DROIT PÉNAL) ; COAUTEUR(DROIT PÉNAL) ; INSTIGATION ; INDUCTION DE LA JUSTICE EN ERREUR ; PRINCIPE DE LA CÉLÉRITÉ ; USAGE DE FAUX(DROIT PÉNAL) ; CONDUITE MALGRÉ UNE INCAPACITÉ ; CONDUITE SANS AUTORISATION | CP.123.al1; CP.123.al2; CP.181; CP.304.al1; CP.24.al1; CP.251.al1; CPP.5; LCR.91.al2.leta; LCR.91.al2.letb; LCR.95.al1.letb</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 M. NIGGLI / M. HEER / H. WIPRÄCHTIGER [éds], Strafprozessordnung / Jugendstrafprozessordnung , Basler Kommentar StPO/JStPO, 2 ème éd., Bâle 2014, n. 83 ad art. 10).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références). Rien ne s'oppose non plus à ce que le juge ne retienne qu'une partie des déclarations d'un témoin globalement crédible (ATF 120 Ia 31 consid. 3 ; arrêt du Tribunal fédéral 6B_637/2012 du 21 janvier 2013 consid. 5.4). 2.1.2. Le principe in dubio pro reo susmentionné (art. 10 al. 3 CPP), concerne tant le fardeau de la preuve que l'appréciation des preuves au sens large (ATF 144 IV 345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L'absence de doute à l'issue de l'appréciation des preuves exclut la violation de la présomption d'innocence en tant que règle sur le fardeau de la preuve (ATF 144 IV 345 consid. 2.2).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 ; ATF 138 V 74 consid. 7 ; ATF 127 I 38 consid. 2a ; ATF 124 IV 86 consid. 2a ; arrêts du Tribunal fédéral 6B_634/2018 du 22 août 2018 consid. 2.1 ; 6B_1306/2017 du 17 mai 2018 consid. 2.1.1).</w:t>
      </w:r>
    </w:p>
    <w:p>
      <w:r>
        <w:rPr>
          <w:b/>
        </w:rPr>
        <w:t>E. 2.2</w:t>
      </w:r>
    </w:p>
    <w:p>
      <w:r>
        <w:t>A teneur de l'art. 123 ch. 1 CP, est punissable, sur plainte, celui qui, intentionnellement, aura fait subir à une personne une autre atteinte [qu'une lésion corporelle grave telle que définie à l'art. 122 CP] à l'intégrité corporelle ou à la santé. La poursuite a lieu d'office si le délinquant a fait usage d'une arme ou d'un objet dangereux (art. 123 ch. 2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ATF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ATF 107 IV 40 consid. 5c ; ATF 103 IV 65 consid. 2c).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doit être qualifié de lésion corporelle. Le caractère dangereux d'un objet se détermine en fonction de la façon dont il est utilisé (ATF 111 IV 123 consid. 4 ; ATF 101 IV 285 ). L'objet doit être propre à créer un risque de mort ou de lésion corporelle grave au sens de l'art. 122 CP (ATF 101 IV 285 , ainsi que les références doctrinales citées par l'arrêt du Tribunal fédéral 6B_590/2014 du 12 mars 2015 consid. 1.3).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blessures graves (ATF 96 IV 16 consid. 3b).</w:t>
      </w:r>
    </w:p>
    <w:p>
      <w:r>
        <w:rPr>
          <w:b/>
        </w:rPr>
        <w:t>E. 2.3</w:t>
      </w:r>
    </w:p>
    <w:p>
      <w:r>
        <w:t>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La violence consiste dans l'emploi d'une force physique d'une certaine intensité à l'encontre de la victime (ATF 101 IV 42 consid. 3a) Sur le plan subjectif, il faut que l'auteur ait agi intentionnellement, c'est-à-dire qu'il ait voulu contraindre la victime à adopter le comportement visé en étant conscient de l'illicéité de son comportement ; le dol éventuel suffit (ATF 120 IV 17 consid. 2c). Les infractions contre l'intégrité corporelle (art. 122, 123, 125 CP) l'emportent sur la contrainte, lorsque celle-ci est purement accessoire à la commission de ces infractions. La contrainte est réprimée séparément lorsqu'elle peut être considérée comme un comportement suffisamment distinct de l'atteinte à l'intégrité corporelle, notamment en raison de sa durée ou de son intensité (ATF 104 IV 170 consid. 2).</w:t>
      </w:r>
    </w:p>
    <w:p>
      <w:r>
        <w:rPr>
          <w:b/>
        </w:rPr>
        <w:t>E. 2.4</w:t>
      </w:r>
    </w:p>
    <w:p>
      <w:r>
        <w:t>Induit la justice en erreur celui qui aura dénoncé à l'autorité une infraction qu'il savait n'avoir pas été commise (art. 304 ch. 1 al. 1 CP).</w:t>
      </w:r>
    </w:p>
    <w:p>
      <w:r>
        <w:rPr>
          <w:b/>
        </w:rPr>
        <w:t>E. 2.5</w:t>
      </w:r>
    </w:p>
    <w:p>
      <w:r>
        <w:t>L'art. 95 al. 1 let. b LCR punit celui qui conduit un véhicule automobile alors que le permis d'élève conducteur ou le permis de conduire lui a été refusé, retiré ou qu'il lui a été interdit d'en faire usage.</w:t>
      </w:r>
    </w:p>
    <w:p>
      <w:r>
        <w:rPr>
          <w:b/>
        </w:rPr>
        <w:t>E. 2.6</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ATF 125 IV 134 consid. 3a). La jurisprudence exige même que le coauteur ait une certaine maîtrise des opérations et que son rôle soit plus ou moins indispensable (arrêts du Tribunal fédéral 6B_1015/2017 du 13 mars 2018 consid. 2.1 ; 6B_673/2016 du 29 décembre 2017 consid. 5.1 ; 6B_419/2016 du 10 avril 2017 consid. 2.2 ; 6B_645/2007 du 2 mai 2008 consid. 7.3.4.5).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2.7</w:t>
      </w:r>
    </w:p>
    <w:p>
      <w:r>
        <w:t>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(ATF 128 IV 11 consid. 2a ; ATF 127 IV 122 consid. 2b/aa et les références ; ATF 124 IV 34 consid. 2c et les références ; arrêts du Tribunal fédéral 6B_1202/2017 du 23 mars 2018 consid. 3.2). Pour qu'une instigation puisse être retenue, il faut qu'elle soit intentionnelle. L'intention doit se rapporter, d'une part, à la provocation de la décision de passer à l'acte et, d'autre part, à l'exécution de l'acte par l'instigué (ATF 127 IV 122 consid. 4a). Le dol éventuel suffit. Il faut que l'instigateur ait su et voulu ou, à tout le moins, envisagé et accepté que son intervention était de nature à décider l'instigué à commettre l'infraction (ATF 128 IV 11 consid. 2a ; arrêt du Tribunal fédéral 6B_1305/2015 du 13 avril 2016 consid. 2.1). Des faits du 11 au 12 mars 2015</w:t>
      </w:r>
    </w:p>
    <w:p>
      <w:r>
        <w:rPr>
          <w:b/>
        </w:rPr>
        <w:t>E. 2.8</w:t>
      </w:r>
    </w:p>
    <w:p>
      <w:r>
        <w:t>L'appréciation des éléments du dossier, telle qu'explicitée ci-après, conduit à établir les faits de la façon suivante :</w:t>
      </w:r>
    </w:p>
    <w:p>
      <w:r>
        <w:rPr>
          <w:b/>
        </w:rPr>
        <w:t>E. 2.8.1</w:t>
      </w:r>
    </w:p>
    <w:p>
      <w:r>
        <w:t>Il convient tout d'abord de souligner que tous les protagonistes ne jouissent que d'une crédibilité limitée, au vu des variations dans leurs explications et des adaptations effectuées sur leurs précédentes déclarations, au fur et à mesure de leur confrontation aux propos des autres intervenants ou face aux éléments objectifs issus de l'enquête. Les frères A/C______ ont varié quant aux raisons de leur visite à E______ le mercredi soir 11 mars aux alentours de minuit. L'un parlant d'abord d'une intervention visant à ce que E______ cesse d'importuner son épouse, l'autre d'aller chercher des affaires pour la fille de leur nièce. Puis, ils ont inversé leurs propos, chacun prétendant devant le Ministère public ce que l'autre avait indiqué devant la police, pour finalement, devant les premiers juges, s'accorder pour dire qu'ils s'étaient rendus au 1______ pour calmer la situation entre les époux et récupérer les clés dérobées. Ils ont également tous deux divergé quant à la présence de F______ dans le hall d'entrée, adaptant leur version, confrontés aux déclarations de celle-ci. Ils ont encore prétendu devant la police que E______ avait dévalé l'entier des escaliers « tout seul », chutant puis se relevant, se cognant contre les murs et la rambarde. Par la suite, ils ont admis que C______ et E______ avaient emprunté ensemble les escaliers, glissant et chutant, tous deux se cognant aux murs et aux escaliers. A______ a d'abord affirmé qu'il n'avait plus de contact avec E______ et qu'il ne lui parlait plus, pour finalement admettre une proximité de plus en plus grande au cours de l'instruction allant jusqu'à déclarer qu'il hébergeait E______ lors des crises les plus importantes du couple et qu'il était intervenu à plusieurs reprises entre eux, étant proche de l'un et de l'autre. Lors de l'audience d'appel, il a d'abord prétendu ne plus avoir aucun contact, pour reconnaître quelques minutes plus tard être toujours en relation avec lui. E______ a été constant quant à la présence de deux hommes aux côtés des frères A/C______. Il a toutefois varié quant à leur rôle, prétendant tantôt que les quatre l'avaient agressé, tantôt que c'était le seul fait des frères A/C______, tantôt celui des deux inconnus. Finalement, lors de la reconstitution, il a retiré sa plainte pénale à l'encontre des frères A/C______ et mis la faute uniquement sur les deux hommes non identifiés. Il a en outre affirmé qu'il était seul dans son appartement. Or, les deux frères ont été constants sur la présence de tiers dans l'appartement lorsqu'ils ont sonné et un témoin entendu par la Cour a confirmé sa présence dans le logement. Il n'y a pas lieu de douter de la crédibilité de ce témoin, à tout le moins sur ce point, dans la mesure où on ne voit pas quel intérêt il retirerait à prétendre avoir été sur place plusieurs années après les faits. De plus, il a pu décrire l'arrivée des frères A/C______ et son témoignage ne leur est pas particulièrement favorable puisqu'il n'exclut pas la présence d'armes, le témoin indiquant seulement n'avoir rien vu. E______ a enfin varié quant aux objets qui lui auraient été dérobés, tantôt par sa femme, tantôt par A______, pendant que C______ le maintenait au sol. Il a notamment parlé d'une bague de mariage. Or, son épouse a affirmé, sans qu'on ne puisse mettre en cause sa déclaration, qu'il n'avait jamais porté d'alliance. La CPAR relève également que ses déclarations sont empreintes d'exagérations - le laissant apparaître comme le survivant d'une attaque lors de laquelle ses assaillants désiraient sa mort - que le dossier n'atteste pas. Les trois protagonistes avaient intérêt à mentir, les deux prévenus aux fins de leur défense, et E______ pour s'assurer de son statut de simple victime d'une agression et non de co-prévenus pour rixe. Vu cette crédibilité limitée, il ne faudra tenir compte qu'avec beaucoup de prudence des déclarations des uns et des autres, en les confrontant aux éléments du dossier (en particulier la configuration des lieux et les différents constats médicaux) ou en en pesant soigneusement la vraisemblance.</w:t>
      </w:r>
    </w:p>
    <w:p>
      <w:r>
        <w:rPr>
          <w:b/>
        </w:rPr>
        <w:t>E. 2.8.2</w:t>
      </w:r>
    </w:p>
    <w:p>
      <w:r>
        <w:t>Il peut être tenu pour établi, les déclarations étant convergentes à cet égard, que le couple E/F______ rencontrait de sérieuses difficultés et occupait fréquemment les autorités compétentes pour des problèmes de violences conjugales. A l'époque des faits, les conjoints étaient séparés depuis près de deux mois, l'épouse ayant quitté le domicile 1______ en janvier. Le 11 mars 2015, un nouveau conflit est survenu en raison de la remise d'un nouvel appartement à F______, rendez-vous auquel s'est également présenté son époux et qui s'est terminé par le vol des clés. On comprend des différentes déclarations que les serrures ont alors été changées, mais que les clés ont été dérobées une deuxième, voire une troisième fois par E______. Plainte pénale a été déposée et il a été condamné à une peine privative de liberté de six mois pour ces faits ( cf. OPMP/3______/2015 du 12 novembre 2015). Dans ce contexte, la mère de F______ a fait appel à ses deux frères pour qu'ils interviennent auprès de son beau-fils.</w:t>
      </w:r>
    </w:p>
    <w:p>
      <w:r>
        <w:rPr>
          <w:b/>
        </w:rPr>
        <w:t>E. 2.8.3</w:t>
      </w:r>
    </w:p>
    <w:p>
      <w:r>
        <w:t>Ainsi, dans un contexte de séparation avec violence (et non de réconciliation), les frères se sont rendus ensemble - étant précisé qu'à teneur du dossier, c'était la première fois qu'ils intervenaient à deux - à l'appartement occupé par E______. Leurs déclarations ont varié quant aux objectifs de cette visite. La Cour retient comme hautement vraisemblable que les oncles de F______ ont voulu récupérer les clés et intimider l'époux de leur nièce afin qu'il la laisse tranquille. La Cour ne retiendra en revanche pas la présence de deux individus tiers. En effet, bien que E______ ait été constant sur ce point, il est le seul à la mentionner, l'ensemble des protagonistes de la famille de F______ l'ayant expressément exclue tout au long de la procédure. Par ailleurs, dans la mesure où il s'agit de faits intrafamiliaux, l'enrôlement de tiers n'est pas cohérent. Le risque d'un débordement à l'occasion de leur visite avait été envisagé : ils y sont allés à deux et ont pris le soin de changer de véhicule afin, dans l'hypothèse la plus favorable, de protéger le leur de violences éventuelles se poursuivant dans la rue. Dans la suite de cette préparation, il apparaît vraisemblable que les deux hommes se soient armés, envisageant le pire dans la réaction de E______. La mêlée entre C______ et E______ dans la descente des escaliers a été d'une certaine violence, ce dernier ayant perdu une chaussure et tous deux ayant chuté à plusieurs reprises, en ressortant avec de multiples contusions et dermabrasions sur tout le corps. L'échange de coups entre eux est hautement vraisemblable. La Cour relève aussi que la violence était coutumière à l'ensemble des protagonistes, C______ et E______ étant déjà connus des autorités pour des problèmes de violences conjugales répétées.</w:t>
      </w:r>
    </w:p>
    <w:p>
      <w:r>
        <w:rPr>
          <w:b/>
        </w:rPr>
        <w:t>E. 2.8.4</w:t>
      </w:r>
    </w:p>
    <w:p>
      <w:r>
        <w:t>Les déclarations des protagonistes concordent quant au début de l' » intervention ». Les deux oncles, leur soeur et sa fille se sont rendus au 1______ dans deux véhicules différents. Ils ont échangé les véhicules dans le parking. Alors que les deux hommes montaient dans l'immeuble, les deux femmes les ont attendus dans la voiture. Les frères ont sonné à l'appartement du mari de leur nièce, lequel a entrouvert la porte mais ne les a pas laissé entrer, contrairement à son habitude. A______ a pris la parole en premier. E______ s'est agité tout de suite, ce qui a fait dire à C______ qu'il devait descendre et que la police l'attendait en bas. A partir de là, les propos divergent. La CPAR ne retiendra pas la version du « coup de boule » asséné par E______ à A______ qui aurait permis au premier de fuir par les escaliers. En effet, s'il avait eu le choix, il est plus vraisemblable que E______ aurait refermé la porte de l'appartement dont il avait refusé l'accès aux appelants, plutôt que d'asséner un coup à l'un des frères et de prendre la fuite. Il est bien plus probable que les deux frères l'aient saisi déjà sur le palier de l'appartement et qu'il se soit débattu réussissant à s'échapper par les escaliers avant d'être rattrapé. La lésion au visage de A______ constatée le lendemain peut avoir d'autres origines, vu l'intensité de la bagarre subséquente. A______ a par ailleurs refusé la visite d'un médecin lors de son audition par la police. La situation a ensuite dégénéré vers un épisode de violence de part et d'autre, hors du contrôle des deux frères, lesquels ont réagi avec virulence, face à un homme qu'ils savaient violent. C______ l'a suivi dans les escaliers (comme lui et son frère l'ont finalement reconnu dans leurs déclarations devant le Ministère public). Ils ont dévalé les escaliers ensemble - s'empoignant l'un l'autre -, E______ chutant et se cognant à plusieurs reprises. A teneur de l'expertise du CURML, les lésions présentées par E______ sur l'ensemble de son corps sont compatibles avec les chutes et les coups reçus dans les escaliers. La majeure partie du sang retrouvé sur les lieux provient de la plaie au crâne de E______, puisque c'est à partir de cette plaie, selon les médecins, qu'a eu lieu l'effusion de sang. La plaie du dos a également saigné, la veste portée par la victime étant imbibée de sang. Bien que les prévenus aient décrit E______ comme étant légèrement blessé lorsqu'il a ouvert la porte, il n'apparaît pas que celui-ci avait déjà une plaie au crâne ouverte jusqu'à l'os, ni une dans le dos de près de 2 cm de profondeur, causée à travers ses vêtements (t-shirt et veste), laquelle saignait et avait imbibé ceux-ci. Cela se vérifie d'autant plus que les taches de sang n'apparaissent sur les lieux qu'à partir du premier étage et jusque dans le hall, rendant certain que les lésions décrites ont été causées à ce stade. A noter également que le dossier contient un certificat médical établi dans la journée du 11 mars 2015, dans lequel il est constaté que E______ présentait uniquement une plaie superficielle, ainsi qu'une dermabrasion à la main droite. Il n'est nullement question d'une attelle. D'ailleurs, le témoin entendu en appel n'a nullement évoqué l'existence de blessures qu'il n'aurait pas manqué de relever lors de la soirée passée à jouer.</w:t>
      </w:r>
    </w:p>
    <w:p>
      <w:r>
        <w:rPr>
          <w:b/>
        </w:rPr>
        <w:t>E. 2.8.5</w:t>
      </w:r>
    </w:p>
    <w:p>
      <w:r>
        <w:t>A teneur du rapport d'expertise du CURML du 12 mai 2015, la plaie du dos a été occasionnée par un objet piquant et tranchant. La plaie est décrite comme linéaire et à bords nets. Contrairement aux déclarations des frères, aucun élément du dossier ne met en lumière la présence d'un tel objet dans la cage d'escalier ou dans son mobilier. En particulier, la configuration des rambardes des escaliers n'est pas compatible avec la lésion présentée par E______ ( cf. cahier photographique, pièce 30'061). Les protagonistes n'ont apporté aucune autre explication plausible. Les ambulanciers intervenus sur les lieux ont indiqué aux policiers que E______ présentait une plaie dans le dos, ayant pu être causée par un couteau. Au vu de l'ensemble des éléments exposés ci-dessus, en particulier du contexte intrafamilial et de la violence coutumière au sein de ce cercle, il ne fait aucun doute que la plaie au dos a été occasionnée par les frères A/C______ lors de l'échauffée dans les escaliers, à l'aide d'un couteau, certainement par C______, ce d'autant plus que E______ présentait deux plaies aux mains de type coupure, correspondant aux déclarations à teneur desquelles il a affirmé s'être défendu en saisissant le couteau par la lame. Le fait que l'arme en question n'ait pas été retrouvée ne change rien au résultat. Quant à la lésion au crâne, l'experte a indiqué dans son rapport, puis expliqué devant le Ministère public que la fracture et la plaie avaient été causées par un seul et même coup. L'experte a exclu la possibilité que celle-ci ait été causée par un choc sur un mur plane. En revanche, elle a indiqué qu'il était envisageable, même si de faible probabilité, qu'elle ait été causée par un heurt sur une marche d'escalier, dans la mesure où il fallait que la tête ait heurté le bord de la marche d'une certaine manière. Elle a par ailleurs précisé que, pour créer une telle effusion de sang, il fallait qu'au moins deux coups aient été portés. Ce nonobstant, les protagonistes convergent sur la violence de la chute dans les escaliers. Les deux frères ont toujours parlé d'un choc violent sur la tête, déjà devant la police, alors qu'ils n'avaient pas encore connaissance de l'étendue des lésions de E______. Il est également établi que ce dernier a chuté à plusieurs reprises dans les escaliers et dévalé à terre une partie des marches. Pour ces raisons, un doute existe quant à l'utilisation d'une lampe-torche. En vertu du principe in dubio pro reo , la CPAR retient que la plaie au crâne de E______ a été occasionnée par le choc de sa tête contre une marche d'escaliers à l'occasion d'une de ses chutes. A l'arrivée des protagonistes dans le hall de l'immeuble, C______ avait le dessus sur E______ et l'a maintenu au sol. A teneur du dossier, il n'est pas possible de déterminer précisément la durée de cette entrave, ni son intensité. Il semble toutefois que la police soit intervenue rapidement et que la scène ait duré quelques minutes selon un recoupement entre les déclarations de F______ et celles des trois protagonistes, lesquels ont évoqués à plusieurs reprises une période totale de dix minutes depuis leur entrée dans l'immeuble. Alors que son mari se trouvait au sol, F______ s'est approchée et s'est emparée de la sacoche et de la ceinture qu'il portait. 2.9.1. Les blessures au couteau subies par E______ lors de la soirée du 11 mars constituent indiscutablement des lésions corporelles simples au sens de l'art. 123 CP. C'est à juste titre que le TCor a retenu que les deux frères avaient de concert décidé d'aller récupérer les clés, de force si nécessaire, prévoyant l'éventuelle violence accompagnant cette visite, puisque l'un est venu armé, et les a reconnus coupables de lésions corporelles. Au vu du déroulement des faits tel qu'établi ci-dessus, C______ est l'auteur direct du coup de couteau. Il n'en demeure pas moins que les deux frères se sont rendus ensemble sur place, qu'ils ont anticipé le danger et le risque de dégénération de leur visite, connaissant et mesurant la dangerosité de E______, et se sont armés en fonction. Au vu de cette décision concertée et commune, la coactivité est réalisée. L'objet employé pour causer la plaie au dos ainsi que les plaies de défense sur la main de E______ est très vraisemblablement un couteau. Au sens de l'art. 123 ch. 2 CP, il s'agit sans conteste d'une arme, le couteau ayant été utilisé comme tel. Le comportement adopté est dangereux et a causé une atteinte à l'intégrité physique de E______. La poursuite a lieu d'office en application de l'art. 123 ch. 2 CP. Les deux frères ont agi intentionnellement, à tout le moins par dol éventuel s'agissant du co-auteur A______, ayant anticipé que la situation pouvait dégénérer, et organisé leur visite en fonction, afin d'atteindre coûte que coûte leur objectif, à savoir récupérer les clés et obtenir que E______ cesse d'importuner son épouse. 2.9.2. La descente des escaliers, les coups échangés à cette occasion, en particulier le coup de couteau, et l'entrave dans la liberté d'action de E______ une fois arrivé au rez-de-chaussée constituent deux atteintes distinctes à des biens juridiques différents tombant sous le chef des infractions de lésions corporelles pour la première et de contrainte pour la seconde. Le maintien au sol de E______ par C______ a notamment permis à l'épouse de celui-ci de récupérer des objets sur lui, étant rappelé qu'à teneur des déclarations des frères A/C______ et de leur nièce, la visite à l'appartement 1______ avait notamment pour objectif la reprise de certains objets. La contrainte est bien réalisée par C______. 2.9.3. Partant, la décision entreprise s'agissant des faits du 11 mars 2015 sera confirmée. Des faits du 16 août 2014</w:t>
      </w:r>
    </w:p>
    <w:p>
      <w:r>
        <w:rPr>
          <w:b/>
        </w:rPr>
        <w:t>E. 2.10</w:t>
      </w:r>
    </w:p>
    <w:p>
      <w:r>
        <w:t>Le verdict de culpabilité à l'encontre de C______ des chefs d'instigation à induire la justice en erreur et de conduite sans autorisation sera confirmé. Les rapports de police sont formels, C______ était installé à la place du conducteur. Cela n'est d'ailleurs pas contesté par l'appelant qui déclare lui-même s'être bien assis à cette place pour chercher un paquet de cigarettes. Il était en outre porteur des clés de la voiture au moment du contrôle d'identité et la voiture appartenait à son épouse. Ces éléments emportent la présomption qu'il était effectivement le conducteur de la voiture. Cela est d'autant plus vraisemblable que, lorsqu'ils ont été aperçu par la patrouille de police, L______ se trouvait également assise côté passager ( cf . Rapports de police des 26 août et 17 décembre 2014). Si, comme le prétend C______, ils venaient de se garer et s'apprêtaient à partir se promener, il est absolument illogique que L______, prétendue conductrice, ait fait le tour du véhicule pour se rassoir côté passager alors que C______ prenait un paquet de cigarette sous le siège conducteur du véhicule. Partant, la version des faits de C______ est dénuée de toute crédibilité. Il est évident qu'il était le conducteur de la voiture ce jour-là. C______ sera reconnu coupable de conduite sans autorisation (art. 95 al. 1 let. b LCR). De même, on ne voit pas pourquoi L______ se serait faussement et spontanément désignée comme la conductrice du véhicule alors que tel n'était pas le cas, sauf à la demande expresse du prévenu, par des mots ou par des gestes explicites (art. 304 ch. 1 cum art. 24 al. 1 CP). Le fait qu'elle l'ait accusé à tort à d'autres occasions ne change rien, vu les éléments objectifs de cette occurrence. Le jugement entrepris sera confirmé en ce sens.</w:t>
      </w:r>
    </w:p>
    <w:p>
      <w:r>
        <w:rPr>
          <w:b/>
        </w:rPr>
        <w:t>E. 3</w:t>
      </w:r>
    </w:p>
    <w:p>
      <w:r>
        <w:t>L'infraction de lésions corporelles simples aggravées, la contrainte, l'induction de la justice en erreur, la conduite sans autorisation et la conduite d'un véhicule automobile en état d'ébriété avec un taux d'alcool qualifié, ainsi que dans l'incapacité de conduire pour d'autres raisons que l'alcool sont sanctionnées par une peine privative de liberté de trois ans au plus ou d'une peine pécuniaire (art. 123 ch. 1 et 2 CP, art. 181 CP, art. 304 ch. 1 CP, art. 91 al. 2 let. a et b LCR et art. 95 al. 1 let. b LCR). Le faux dans les titres est puni d'une peine privative de liberté de cinq ans au plus ou d'une peine pécuniaire (art. 251 ch. 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3.3</w:t>
      </w:r>
    </w:p>
    <w:p>
      <w:r>
        <w:t>La réforme du droit des sanctions entrée en vigueur le 1 er janvier 2018 marque, globalement, un durcissement du droit des sanctions. En l'espèce, il sera fait application du droit en vigueur jusqu'au 31 décembre 2017, les actes reprochés ayant été commis sous l'empire de ce droit, et le nouveau droit des sanctions n'apparaissant pas plus favorable aux appelants. En effet, la peine pécuniaire est désormais de trois jours au moins et jusqu'à 180 jours (art. 34 al. 1 CP). La peine privative de liberté est de trois jours au moins et de vingt ans au plus (art. 40 CP). Les règles sur le sursis n'ont guère été remaniées pour ce qui concerne la peine privative de liberté.</w:t>
      </w:r>
    </w:p>
    <w:p>
      <w:r>
        <w:rPr>
          <w:b/>
        </w:rPr>
        <w:t>E. 3.4</w:t>
      </w:r>
    </w:p>
    <w:p>
      <w:r>
        <w:t>Pour choisir la nature de la peine, le juge doit prendre en considération l'opportunité de la sanction déterminée, ses effets sur l'auteur et son milieu social, ainsi que son efficacité préventive (ATF 134 IV 97 consid. 4 ; arrêts du Tribunal fédéral 6B_714/2015 du 28 septembre 2015 consid. 1.1 ; 6B_894/2014 du 25 mars 2015 consid. 2.1). 3.5.1.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 cf.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 3.5.2. Le fait que le prévenu n'ait pas commis de nouvelles infractions depuis sa dernière condamnation est dénué de pertinence dans la fixation de la peine, dès lors qu'un tel comportement correspond à ce que l'on doit pouvoir attendre de tout un chacun (arrêts du Tribunal fédéral 6B_987/2017 du 12 février 2018 consid. 4.3.2 ; 6B_1428/2016 du 3 octobre 2017 consid. 4.2). Il doit en revanche être pris en considération dans l'établissement du pronostic nécessaire à l'application des art. 42 et 43 CP, dès lors que l'absence de constat d'infraction durant deux ans est un signe allant à l'encontre d'un pronostic défavorable. Le pronostic sur l'évolution future d'un prévenu doit aussi tenir compte de ses efforts de réintégration (arrêt du Tribunal fédéral 6B_1247/2017 du 30 mai 2018 consid. 2.3, in Jusletter du 18 juin 2018). 3.5.3. A teneur de l'article 44 al. 1 CP, si le juge suspend totalement ou partiellement l'exécution d'une peine, il impartit au condamné un délai d'épreuve de deux à cinq ans.</w:t>
      </w:r>
    </w:p>
    <w:p>
      <w:r>
        <w:rPr>
          <w:b/>
        </w:rPr>
        <w:t>E. 3.6</w:t>
      </w:r>
    </w:p>
    <w:p>
      <w:r>
        <w:t>A teneur de l'art. 48 let. a CP,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3.7.1.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(arrêt du Tribunal fédéral 4A_500/2008 du 7 avril 2009).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(ATF 135 I 265 consid. 4.4 ; ATF 130 I 312 consid. 5.1). On ne saurait reprocher à l'autorité quelques temps morts, qui sont inévitables dans une procédure (ATF 130 IV 54 consid. 3.3.3 ; ATF 130 I 312 consid. 5.2 ; arrêt du Tribunal fédéral 6B_1066/2013 du 27 février 2014 consid. 1.1.2).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La seule invocation d'un délai de sept mois et une semaine entre le dépôt de la déclaration d'appel et les débats d'appel ne montre pas la violation du principe de célérité (arrêt du Tribunal fédéral 6B_590/2014 du 12 mars 2015 consid. 5.3). 3.7.2. Dans sa pratique la plus récente ( AARP/198/2017 , AARP/67/2018 et AARP/204/2019 ), la CPAR a opté pour une indemnisation sous forme de déduction à opérer sur la peine qu'elle avait préalablement fixée et non sous celle d'une véritable réduction de la peine. Le tort subi par un prévenu du fait de la violation du principe de célérité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 Ce raisonnement, que la CPAR a adopté s'agissant de compenser le tort causé par les conditions de détention, doit pouvoir s'appliquer également en cas de violation du principe de célérité.</w:t>
      </w:r>
    </w:p>
    <w:p>
      <w:r>
        <w:rPr>
          <w:b/>
        </w:rPr>
        <w:t>E. 3.8</w:t>
      </w:r>
    </w:p>
    <w:p>
      <w:r>
        <w:t>En l'espèce, la faute des frères A/C______ est grave. Les deux ont fait preuve de mépris et d'indifférence envers les règles de l'ordre juridique et la bonne administration de la justice. Ils ont agi avec un dédain complet pour l'intégrité physique de E______, allant jusqu'à lui planter un couteau dans le dos. Ils sont passées à l'acte, mus par un désir de vengeance, faisant fi du rôle de la police, préférant faire justice eux-mêmes. Leur volonté délictuelle a été importante, ils ont agi avec détermination, pourchassant l'intéressé depuis le troisième étage jusqu'au rez-de-chaussée. Leur collaboration a été très mauvaise s'agissant des faits du 11 mars 2015 puisqu'ils ont persisté à nier l'évidence. Ils n'ont eu de cesse de rejeter entièrement leur responsabilité sur la victime et n'ont exprimé aucun regret en relation avec les lésions infligées, se montrant uniquement désolés pour leur propre situation. La prise de conscience est inexistante, les intéressés poursuivant la minimisation de leurs actes en appel encore et niant l'évidence de l'utilisation d'un couteau au cours de l'altercation.</w:t>
      </w:r>
    </w:p>
    <w:p>
      <w:r>
        <w:rPr>
          <w:b/>
        </w:rPr>
        <w:t>E. 3.8.1</w:t>
      </w:r>
    </w:p>
    <w:p>
      <w:r>
        <w:t>C______ a en outre entravé E______ dans sa liberté et fait fi de la bonne foi accordée aux affaires et aux titres, mû par un mobile égoïste et des convenances personnelles. Loin de prendre la mesure de ses actes et de leurs conséquences, en particulier sur le renouvellement de son titre de séjour, il a voulu les contourner par la commission d'un faux dans les titres. Un tel comportement ne saurait être qualifié d'honorable et n'atteint certainement pas la valeur éthique exigée pour l'application de l'art. 48 let. a CP, l'appelant ayant lui-même admis avoir agi par lassitude. Au surplus, C______ ne se trouvait pas dans une impasse financière, dans la mesure où sa femme travaillait et que lui-même était en mesure d'exercer une activité lucrative dans un autre secteur, dans l'attente de l'obtention du titre de séjour nécessaire, comme il l'a fait début 2019. Il n'a pas non plus hésité à inciter L______ à se désigner à sa place comme conductrice du véhicule, se sachant visé par un retrait de son permis de conduire, usant de son ascendant sur la jeune femme. Sa situation personnelle au moment des faits n'excuse en rien ses agissements. Il a déjà été condamné pour des antécédents spécifiques en relation avec l'infraction de lésions corporelles simples. En effet, il a été sanctionné moins de six mois avant les faits pour lésions corporelles simples et menaces commises à l'encontre de son épouse. Les éléments qui précèdent imposent de confirmer le choix du genre de peine, que l'appelant n'a d'ailleurs pas critiqué. En effet, la peine pécuniaire ne saurait entrer en considération, faute d'effet dissuasif. L'appelant a fait preuve de son imperméabilité aux sanctions déjà prononcées, notamment pour des antécédents spécifiques récents et a poursuivi son comportement délictuel sans amendement aucun. Il y a concours entre les infractions de lésions corporelles simples aggravées (art. 123 ch. 1 et 2 CP), de contrainte (art. 181 CP), d'instigation d'induire la justice en erreur (art. 304 ch. 1 cum art. 24 CP), de conduite sans autorisation (art. 95 al. 1 let. b LCR) et de faux dans les titres (art. 251 ch. 1 CP), ce qui justifie de prononcer une peine privative de liberté aggravée. Les actes abstraitement les plus graves au sens de l'art. 49 al. 1 CP sont ceux qualifiés de faux dans les titres. Aussi, la CPAR juge appropriée une peine privative de liberté de trois mois en relation avec cette infraction. A ces trois mois s'ajouteront 21 mois afin de tenir compte du concours avec les autres infractions (13 mois pour les lésions corporelles aggravées, quatre mois pour la contrainte, deux mois pour l'instigation à induire la justice en erreur, deux mois pour la conduite sans autorisation), d'où une peine privative de liberté globale de 24 mois. L'appelant n'a pas eu à exécuter les peines inscrites dans son casier judiciaire, ayant toujours été mis au bénéfice d'un sursis et ses précédentes condamnations ne l'ont pas détourné de la commission de nouvelles infractions spécifiques, comme le démontre la présente procédure. Dans l'évaluation de son pronostic, il apparaît néanmoins que, depuis 2016, C______ n'a plus commis d'infraction. Il a trouvé un emploi et semble agir dans le respect de la loi. Compte tenu de ces éléments, une incertitude demeure quant à l'existence d'un pronostic défavorable. Le sursis étant la règle et devant primer en cas de doute, il sera prononcé. Le délai d'épreuve sera fixé à quatre ans.</w:t>
      </w:r>
    </w:p>
    <w:p>
      <w:r>
        <w:rPr>
          <w:b/>
        </w:rPr>
        <w:t>E. 3.8.2</w:t>
      </w:r>
    </w:p>
    <w:p>
      <w:r>
        <w:t>A______ a poursuivi des mobiles futiles en lien avec son incapacité de conduire en novembre 2015, n'hésitant pas à prendre le volant du véhicule, alors qu'il était sous l'effet d'un taux qualifié d'alcool et d'un taux de THC le plaçant dans l'incapacité de conduire. Il a en revanche pris conscience de ses actes au cours de l'instruction, admettant les avoir commis. Sa situation personnelle est sans rapport avec les faits reprochés. Il avait toute latitude d'agir en respectant la loi. Le prévenu a des antécédents en matière de LCR. Les éléments qui précèdent imposent de confirmer le choix du genre de peine, que l'appelant n'a d'ailleurs pas non plus critiqué. En effet, la peine pécuniaire ne saurait entrer en considération, faute d'effet dissuasif. L'appelant a fait preuve d'une imperméabilité aux sanctions déjà prononcées, notamment pour des antécédents de circulation routière et a poursuivi son comportement délictuel sans amendement aucun. Il y a concours entre les infractions de lésions corporelles simples aggravées (art. 123 ch. 1 et 2 CP) et de conduite d'un véhicule automobile en état d'ébriété avec un taux d'alcool qualifié, doublé d'un taux de THC le plaçant dans l'incapacité de conduire ledit véhicule (art. 91 al. 2 let. a et b LCR), ce qui justifie de prononcer une peine privative de liberté aggravée. Les actes abstraitement les plus graves au sens de l'art. 49 al. 1 CP sont ceux qualifiés de lésions corporelles simples aggravées. Aussi, la CPAR juge appropriée une peine privative de liberté de 13 mois en relation avec cette infraction. A ces 13 mois, aux fins de tenir compte du concours, s'ajouteront deux mois en lien avec l'infraction à la LCR, d'où une peine privative de liberté globale de 15 mois. A______, comme son frère, n'a plus occupé les autorités judiciaires depuis 2015, signe allant à l'encontre d'un pronostic défavorable. Il est au bénéfice d'une promesse d'emploi pour cet été et est très présent pour son fils. Il semble agir dans le respect de la loi. Il n'a aucun antécédent de violence, ni d'incapacité de conduire en raison de l'alcool ou d'autres substances. Compte tenu de ces éléments, la CPAR exclut l'existence d'un pronostic défavorable et le sursis sera prononcé. Le délai d'épreuve sera fixé à quatre ans. Le jugement entrepris sera modifié en ce sens.</w:t>
      </w:r>
    </w:p>
    <w:p>
      <w:r>
        <w:rPr>
          <w:b/>
        </w:rPr>
        <w:t>E. 3.8.3</w:t>
      </w:r>
    </w:p>
    <w:p>
      <w:r>
        <w:t>Les premiers juges ont admis à tort une violation du principe de célérité, le délai de sept mois écoulé entre le dernier acte d'instructions et le dépôt de l'acte d'accusation demeurant dans les limites de l'acceptable, les prévenus n'étant alors pas détenus. La CPAR ne réduira dès lors pas la peine fixée ci-dessus, ce qui ne péjore pas le sort des appelants, tel qu'il résultait du dispositif du jugement, et ne viole donc pas le principe de l'interdiction de la reformatio in pejus .</w:t>
      </w:r>
    </w:p>
    <w:p>
      <w:r>
        <w:rPr>
          <w:b/>
        </w:rPr>
        <w:t>E. 4</w:t>
      </w:r>
    </w:p>
    <w:p>
      <w:r>
        <w:t>Vu l'issue de la procédure, les conclusions en indemnisation de A______ seront rejetées (art. 429 CPP).</w:t>
      </w:r>
    </w:p>
    <w:p>
      <w:r>
        <w:rPr>
          <w:b/>
        </w:rPr>
        <w:t>E. 5</w:t>
      </w:r>
    </w:p>
    <w:p>
      <w:r>
        <w:t>1. Les appelants, qui succombent partiellement, supporteront chacun un tiers des frais de la procédure d'appel (art. 428 CPP), compte tenu de la diminution des peines prononcées à l'encontre de tous deux. Les frais en appel comprennent un émolument de décision de CHF 3'000.-.</w:t>
      </w:r>
    </w:p>
    <w:p>
      <w:r>
        <w:rPr>
          <w:b/>
        </w:rPr>
        <w:t>E. 5.2</w:t>
      </w:r>
    </w:p>
    <w:p>
      <w:r>
        <w:t>La répartition des frais de la procédure de première demeurera inchangée compte tenu de la confirmation du verdict de culpabilité à leur égard.</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un chef d'étude, débours de l'étude inclus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6.4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6.5.1. En l'occurrence, en lien avec l'activité du défenseur d'office de C______, 07h00 consacrées à la préparation des débats seront retenues, le dossier étant censé bien connu de l'avocat qui venait de le plaider en première instance et l'argumentation développée devant la Cour de céans étant substantiellement la même que devant les premiers juges. A ces heures, s'ajouteront la durée de l'audience (04h30), 01h30 d'entretien avec le client (temps suffisant pour l'orienter sur les chances de succès et les coûts en cas de rejet, ainsi que pour recueillir ses déterminations et préparer l'audience en appel) et la consultation du dossier (00h15), soit un total de 13h45. Le temps consacré à la rédaction de la déclaration d'appel ainsi que celui employé à la confection d'un bordereau de pièces ne seront pas considérés séparément, étant couvert par le forfait. Il en va de même de la prise de connaissance du dossier en appel, déjà connu, comme il vient d'être dit. En conclusion, son indemnité sera arrêtée à CHF 3'339.45 correspondant à 13h15 heures d'activité au tarif de CHF 200.-/heure (CHF 2'650.-) plus la majoration forfaitaire de 10% (CHF 265.-) et la TVA au taux de 7.7% (CHF 224.45), ainsi que le déplacement à l'audience d'appel et lors de la consultation du dossier (CHF 200.-). 6.5.2. Le temps consacré à la rédaction de l'annonce d'appel, de la déclaration d'appel et des conclusions en indemnisation, détaillé dans l'état de frais du défenseur d'office de A______, est compris dans l'indemnisation forfaitaire, conformément aux critères rappelés ci-dessus. De surcroît, le dossier étant censé bien connu de l'avocat, qui venait de le plaider en première instance, il ne se justifiait pas de consacrer 16h00 à la préparation des débats d'appel, 05h00 apparaissant adéquates. Ce d'autant plus que seule la culpabilité, subsidiairement la quotité de la peine, étaient contestées en appel. 04h30 d'entretien avec le client ne s'imposaient pas, 01h30 pour l'orienter sur les chances de succès et les coûts en cas de rejet, ainsi que pour recueillir ses déterminations et préparer l'audience en appel, suffisant. A ces heures s'ajoute la durée des débats d'appel (04h30), soit un total de 11h30. Partant, son indemnité sera arrêtée à CHF 2'706.35 correspondant à 11h00 heures d'activité au tarif de CHF 200.-/heure (CHF 2'200.-) plus la majoration forfaitaire de 10% (CHF 220.-) et la TVA au taux de 7.7% (CHF 186.35), ainsi que le déplacement à l'audience d'appel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