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P/4721/2014 vom 13. Oktober 2014</w:t>
      </w:r>
    </w:p>
    <w:p>
      <w:r>
        <w:t>GE Cour de justice, 2014-10-13, FR</w:t>
      </w:r>
    </w:p>
    <w:p>
      <w:r>
        <w:rPr>
          <w:b/>
        </w:rPr>
        <w:t xml:space="preserve">Quelle: </w:t>
      </w:r>
      <w:r>
        <w:t>https://mcp.opencaselaw.ch/entscheid/ge_gerichte_P_4721_2014</w:t>
      </w:r>
    </w:p>
    <w:p>
      <w:r>
        <w:t>FR: GE_GERICHTE P/4721/2014 du 13 octobre 2014</w:t>
      </w:r>
    </w:p>
    <w:p>
      <w:r>
        <w:t>IT: GE_GERICHTE P/4721/2014 del 13 ottobre 2014</w:t>
      </w:r>
    </w:p>
    <w:p>
      <w:pPr>
        <w:pStyle w:val="Heading2"/>
      </w:pPr>
      <w:r>
        <w:t>Regeste</w:t>
      </w:r>
    </w:p>
    <w:p>
      <w:r>
        <w:t>SÉJOUR ILLÉGAL | LEtr.115.1.B</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 Il n'y a ainsi pas lieu de revenir sur le verdict de culpabilité, qui n'est pas contesté et qui est au demeurant conforme aux faits résultant du dossier.</w:t>
      </w:r>
    </w:p>
    <w:p>
      <w:r>
        <w:rPr>
          <w:b/>
        </w:rPr>
        <w:t>E. 2</w:t>
      </w:r>
    </w:p>
    <w:p>
      <w:r>
        <w:t>2.1.1 Le séjour illégal au sens de l'art. 115 al. 1 let. b LEtr est passible d'une peine privative de liberté d'un an au plus ou d'une peine pécuniaire. Il s'agit d'un délit de durée, d'un délit continu. L'infraction est achevée au moment où le séjour prend fin (ATF 135 IV 6 consid. 3.2). L'infraction peut être à nouveau commise si, après avoir été jugé pour de tels faits, le condamné poursuit ou renouvelle son séjour illégal en Suisse. Le principe de la faute suppose toutefois la liberté d'agir autrement. Ainsi, l'on ne pourra pas reprocher pénalement à un ressortissant étranger séjournant illégalement en Suisse de n'avoir pas quitté le pays s'il se trouvait objectivement dans l'incapacité de le faire et de rentrer dans son pays d'origine, malgré le respect de ses devoirs et obligations envers les autorités de migration (G. D'ADDARIO DI PAOLO / L. VETTERLI, Bundesgesetz über die Ausländerinnen und Ausländer , Stämpfli Verlag AG, Bern, 2010, n. 27/28 ad art. 115 LEtr - arrêts du Tribunal fédéral 6B_783/2011 du 2 mars 2012 consid. 1.3 ; 6B_482/2010 du 7 octobre 2010 consid. 3.2.2 ; 6B_85/2007 du 3 juillet 2007 consid. 2.3). 2.1.2 En matière de séjour illégal, le Tribunal fédéral a jugé que lorsque la situation irrégulière qui doit faire l'objet d'un deuxième jugement procède de la même intention que celle qui a présidé aux faits déjà jugés, la somme des peines prononcées à raison du délit continu doit être adaptée à la faute considérée dans son ensemble et ne pas excéder la peine maximale prévue par la loi (ATF 135 IV 6 consid. 4). 2.1.3 Il n'est pas nécessaire que l'autorité de jugement pénale détaille arithmétiquement les éléments pertinents retenus pour la fixation de la peine, dans la mesure où la motivation permet de saisir que tous les éléments importants ont été pris en considération (ATF 127 IV 101 consid. 2c). Cependant, vu l'ATF 135 IV 6 précité, il convient d'identifier les peines subies par l'appelant en raison des infractions à la LEtr, afin d'éviter que le plafond d'une année prévu par la disposition topique ne soit dépassé.</w:t>
      </w:r>
    </w:p>
    <w:p>
      <w:r>
        <w:rPr>
          <w:b/>
        </w:rPr>
        <w:t>E. 2.2</w:t>
      </w:r>
    </w:p>
    <w:p>
      <w:r>
        <w:t>En l'espèce, l'appelant a été condamné le 30 août 2011 à une peine pécuniaire de 30 jours-amende, équivalant à une peine privative de liberté de même durée, pour entrée illégale, point de départ de la période pénale. Postérieurement, l'appelant a été l'objet de trois condamnations totalisant huit mois de peine privative de liberté portant exclusivement sur le séjour illégal. Dans trois autres cas, eu égard à la gravité plus importante des infractions autres que les violations de la LEtr, il faut retenir que la part des peines cumulées sanctionnant ces derniers délits est au moins de l'ordre de trois mois, de sorte que le plafond d'un an fixé par le Tribunal fédéral est atteint. Il convient en conséquence d'exempter l'appelant de toute peine. Dans la mesure où le Ministère public, puis le premier juge auraient dû renoncer à infliger une nouvelle sanction au prévenu, il se justifie de ne pas lui faire supporter les frais de la procédure de première instance. Le jugement entrepris sera réformé sur ces points.</w:t>
      </w:r>
    </w:p>
    <w:p>
      <w:r>
        <w:rPr>
          <w:b/>
        </w:rPr>
        <w:t>E. 3</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