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P/4683/2016 vom 7. Dezember 2016</w:t>
      </w:r>
    </w:p>
    <w:p>
      <w:r>
        <w:t>GE Cour de justice, 2016-12-07, FR</w:t>
      </w:r>
    </w:p>
    <w:p>
      <w:r>
        <w:rPr>
          <w:b/>
        </w:rPr>
        <w:t xml:space="preserve">Quelle: </w:t>
      </w:r>
      <w:r>
        <w:t>https://mcp.opencaselaw.ch/entscheid/ge_gerichte_P_4683_2016</w:t>
      </w:r>
    </w:p>
    <w:p>
      <w:r>
        <w:t>FR: GE_GERICHTE P/4683/2016 du 7 décembre 2016</w:t>
      </w:r>
    </w:p>
    <w:p>
      <w:r>
        <w:t>IT: GE_GERICHTE P/4683/2016 del 7 dicembre 2016</w:t>
      </w:r>
    </w:p>
    <w:p>
      <w:pPr>
        <w:pStyle w:val="Heading2"/>
      </w:pPr>
      <w:r>
        <w:t>Regeste</w:t>
      </w:r>
    </w:p>
    <w:p>
      <w:r>
        <w:t>RÉVISION(DÉCISION) ; MOTIF DE RÉVISION ; DÉCISION D'IRRECEVABILITÉ ; FRAIS DE LA PROCÉDURE | CPP.410; CPP.411; CPP.412; CPP.428</w:t>
      </w:r>
    </w:p>
    <w:p>
      <w:pPr>
        <w:pStyle w:val="Heading2"/>
      </w:pPr>
      <w:r>
        <w:t>Erwägungen</w:t>
      </w:r>
    </w:p>
    <w:p>
      <w:r>
        <w:rPr>
          <w:b/>
        </w:rPr>
        <w:t>E. 1.1</w:t>
      </w:r>
    </w:p>
    <w:p>
      <w:r>
        <w:t>La Chambre pénale d’appel et de révision est l'autorité compétente en matière de révision à compter du 1 er janvier 2011 (art. 21 al. 1 let. b CPP cum art. 130 al. 1 let. a de la Loi d'organisation judiciaire [LOJ ; E 2 05]).</w:t>
      </w:r>
    </w:p>
    <w:p>
      <w:r>
        <w:rPr>
          <w:b/>
        </w:rPr>
        <w:t>E. 1.2</w:t>
      </w:r>
    </w:p>
    <w:p>
      <w:r>
        <w:t>La demande de révision a été formée par-devant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MP du 30 mai 2016, formée le 15 septembre 2016, est donc recevable au regard de ces dispositions.</w:t>
      </w:r>
    </w:p>
    <w:p>
      <w:r>
        <w:rPr>
          <w:b/>
        </w:rPr>
        <w:t>E. 2</w:t>
      </w:r>
    </w:p>
    <w:p>
      <w:r>
        <w:t>2.1. 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6B_1214/2015 du 30 août 2016 consid. 2, 6B_415/2012 du 14 décembre 2012 consid. 2.3 et 6B_942/2010 du 7 novembre 2011 consid. 2.2.1).</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En l'espèce, la police a informé la demanderesse en janvier 2016 de ce que son véhicule avait été contrôlé le 8 décembre 2015 en excès de vitesse à la route de B______. La demanderesse a rempli, signé et renvoyé le 1 er février 2016 à la police, le questionnaire aux termes duquel elle reconnaissait être l'auteur de l'infraction et une lettre où, dans la perspective d'une sanction, elle indiquait avoir besoin de sa voiture pour se rendre en France voisine et en Italie. Selon ses propres déclarations, sa mère lui aurait dit, en avril 2016, que c'était elle qui conduisait le 8 décembre 2015. Sa mère s'était dénoncée au SCV le 7 juin 2016, soit avant la notification à la demanderesse de l'ordonnance pénale dont la révision est sollicitée. Elle le savait. A aucun moment, de janvier à juillet 2016, la demanderesse n'a contesté les faits, jusqu'à réception du bordereau du SDC l'invitant à payer l'amende et les frais de procédure. L'ordonnance pénale lui a été notifiée le 8 juin 2016 et elle n'a pas formé d'opposition dans le délai de l'art. 354 al. 1 CPP. Elle n'a d'ailleurs jamais allégué avoir été empêchée de le faire. Ainsi, en l'absence de toute justification, la demanderesse devait faire opposition et fournir au MP les moyens de preuve dont elle avait connaissance. A défaut, elle doit se laisser opposer qu'elle y a renoncé sans raison valable, de sorte qu'elle ne peut, sans violer l'interdiction de l'abus de droit, se prévaloir des mêmes moyens de preuve, qui ne sont pas nouveaux, dans le cadre d'une demande en révision, même si sa feuille de présence semble indiquer que son horaire de travail se terminait à 20h20. Au vu de ce qui précède, la demande, abusive (arrêt du Tribunal fédéral 6B_864/2014 du 16 janvier 2015 consid. 1.3) sera déclarée irrecevable, avec suite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