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P/4665/2025 vom 17. November 2025</w:t>
      </w:r>
    </w:p>
    <w:p>
      <w:r>
        <w:t>GE Cour de justice, 2025-11-17, FR</w:t>
      </w:r>
    </w:p>
    <w:p>
      <w:r>
        <w:rPr>
          <w:b/>
        </w:rPr>
        <w:t xml:space="preserve">Quelle: </w:t>
      </w:r>
      <w:r>
        <w:t>https://mcp.opencaselaw.ch/entscheid/ge_gerichte_P_4665_2025</w:t>
      </w:r>
    </w:p>
    <w:p>
      <w:r>
        <w:t>FR: GE_GERICHTE P/4665/2025 du 17 novembre 2025</w:t>
      </w:r>
    </w:p>
    <w:p>
      <w:r>
        <w:t>IT: GE_GERICHTE P/4665/2025 del 17 novembre 2025</w:t>
      </w:r>
    </w:p>
    <w:p>
      <w:pPr>
        <w:pStyle w:val="Heading2"/>
      </w:pPr>
      <w:r>
        <w:t>Regeste</w:t>
      </w:r>
    </w:p>
    <w:p>
      <w:r>
        <w:t>DÉCISION D'IRRECEVABILITÉ | CPP.399.al3; CPP.85.al4</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consid. 2).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1.2</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2</w:t>
      </w:r>
    </w:p>
    <w:p>
      <w:r>
        <w:t>2.1. Selon l'art. 85 al. 1 CPP, sauf disposition contraire du CPP, les communications des autorités pénales sont notifiées en la forme écrite. Selon l'art. 85 al. 4 CPP, le prononcé est réputé notifié : lorsque, expédié par lettre signature, il n'a pas été retiré dans les sept jours à compter de la tentative infructueuse de remise du pli, si la personne concernée devait s'attendre à une telle remise (let. a) ; lorsque, notifié personnellement, il a été refusé et que ce refus a été dûment constaté le jour même par la personne chargée de remettre le pli (let. b).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Une demande de garde du courrier ne constitue pas une mesure suffisante. À ce défaut, le destinataire est réputé avoir eu, à l'échéance du délai de garde, connaissance du contenu des plis recommandés que le juge lui adresse (ATF 146 IV 30 consid. 1.1.2 ; 141 II 429 consid. 3.1 ; 139 IV 228 consid. 1.1 ; arrêt du Tribunal fédéral 6B_448/2024 du 19 septembre 2024 consid. 3.2.2).</w:t>
      </w:r>
    </w:p>
    <w:p>
      <w:r>
        <w:rPr>
          <w:b/>
        </w:rPr>
        <w:t>E. 2.2</w:t>
      </w:r>
    </w:p>
    <w:p>
      <w:r>
        <w:t>L'autorité pénale peut procéder à la notification de son jugement à l'adresse indiquée par le destinataire, jusqu'à la communication d'un avis de changement d'adresse ; tant qu'aucun changement d'adresse n'est communiqué à l'autorité, la notification sera considérée comme régulière si le prononcé est remis à une personne qui réside à l'adresse indiquée et qui accepte la notification (arrêt du Tribunal fédéral 6B_1111/2018 du 18 décembre 2018 consid. 1).</w:t>
      </w:r>
    </w:p>
    <w:p>
      <w:r>
        <w:rPr>
          <w:b/>
        </w:rPr>
        <w:t>E. 3</w:t>
      </w:r>
    </w:p>
    <w:p>
      <w:r>
        <w:t>En l'espèce, le prévenu a élu domicile, au cours de la procédure, à une adresse à laquelle les différents envois qui lui étaient destinés ont été transmis. Il avait connaissance de la tenue de l’audience de première instance, devait s’attendre à la notification du jugement. Il n’a toutefois pas retiré le pli contenant le jugement du TP ; la fiction de notification de l’art. 85 al. 4 CPP est donc applicable. Le jugement est donc réputé avoir été notifié le 11 août 2025. Le prévenu a adressé, plus de deux mois après cette notification, un courrier de réclamation intitulé « opposition ». Si tant est que ce courrier doive être interprété comme un appel, il est manifestement tardif, le délai d’appel étant échu depuis le lundi 1 er septembre 2025. Dans de telles circonstances, l'appel doit être déclaré irrecevable. Cette irrecevabilité étant manifeste, il est superflu d’interpeller les parties.</w:t>
      </w:r>
    </w:p>
    <w:p>
      <w:r>
        <w:rPr>
          <w:b/>
        </w:rPr>
        <w:t>E. 4</w:t>
      </w:r>
    </w:p>
    <w:p>
      <w:r>
        <w:t>La partie dont l'appel est irrecevable est considérée comme ayant succombé ; elle supportera les frais de la procédure envers l'État, y compris un émolument de jugement, limité à CHF 300.-, vu le stade peu avancé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