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P/4618/2016 vom 20. November 2018</w:t>
      </w:r>
    </w:p>
    <w:p>
      <w:r>
        <w:t>GE Cour de justice, 2018-11-20, FR</w:t>
      </w:r>
    </w:p>
    <w:p>
      <w:r>
        <w:rPr>
          <w:b/>
        </w:rPr>
        <w:t xml:space="preserve">Quelle: </w:t>
      </w:r>
      <w:r>
        <w:t>https://mcp.opencaselaw.ch/entscheid/ge_gerichte_P_4618_2016</w:t>
      </w:r>
    </w:p>
    <w:p>
      <w:r>
        <w:t>FR: GE_GERICHTE P/4618/2016 du 20 novembre 2018</w:t>
      </w:r>
    </w:p>
    <w:p>
      <w:r>
        <w:t>IT: GE_GERICHTE P/4618/2016 del 20 novembre 2018</w:t>
      </w:r>
    </w:p>
    <w:p>
      <w:pPr>
        <w:pStyle w:val="Heading2"/>
      </w:pPr>
      <w:r>
        <w:t>Regeste</w:t>
      </w:r>
    </w:p>
    <w:p>
      <w:r>
        <w:t>IN DUBIO PRO REO ; MAÎTRISE DU VÉHICULE ; PRINCIPE DE LA CONFIANCE(RÈGLE DE LA CIRCULATION) | LCR.26.al1; CEDH.6.al2; LCR.31.al1; OCR.3.al1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L'appelant obtient gain de cause dans une large mesure. Il a en effet été acquitté du chef de violation simple des règles de la circulation routière (art. 90 al. 1 LCR) et l'amende a été largement réduite, sans toutefois correspondre au maximum requis. L'appelant supportera dès lors le 1/5 ème des frais de procédure en appel (art. 428 al. 1 CPP), qui comprennent un émolument de CHF 2'000.-. Les frais de première instance seront laissés à la charge de l'appelant à raison de la moitié, dans la mesure où son appel n'a porté que sur une partie de sa culpabilité et a obtenu son acquittement sur ce point. Au vu de l'issue de la procédure d'appel, la décision de mettre l'émolument complémentaire à la charge de l'appelant en première instance ne se justifie pas. L'appelant en sera ainsi exonéré. * * * * *</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2.2</w:t>
      </w:r>
    </w:p>
    <w:p>
      <w:r>
        <w:t>L'art. 90 LCR constitue la base légale pour réprimer les violations de règles de la circulation. S'agissant d'une disposition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 Berne 2007, n. 15 ad art. 90 LCR). À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et les références ; arrêts du Tribunal fédéral fédéral 6B_69/2017 du 28 novembre 2017 consid. 2.2.1 ; 6B_665/2015 du 15 septembre 2016 consid. 2.2).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 32 al. 1 LCR). Cette règle implique notamment qu'on ne peut circuler à la vitesse maximale autorisée que si les conditions de la route, du trafic et de visibilité sont favorables (ATF 121 IV 286 consid. 4b p. 291 ; arrêt du Tribunal fédéral 6B_23/2016 du 9 décembre 2016 consid. 3.1 et les références citées). L'examen de l'adaptation de la vitesse aux circonstances, dans leur ensemble, est en principe une question de droit. La réponse à apporter dépend essentiellement de l'appréciation des circonstances locales, pour l'examen desquelles l'autorité cantonale dispose d'une certaine latitude (arrêt du Tribunal fédéral 6B_1247/2013 du 13 mars 2014 consid. 3.1 et les références citées).</w:t>
      </w:r>
    </w:p>
    <w:p>
      <w:r>
        <w:rPr>
          <w:b/>
        </w:rPr>
        <w:t>E. 2.3</w:t>
      </w:r>
    </w:p>
    <w:p>
      <w:r>
        <w:t>Le principe de la confiance est déduit de l'art. 26 al. 1 LCR qui prévoit que chacun doit se comporter, dans la circulation, de manière à ne pas gêner ni mettre en danger ceux qui utilisent la route conformément aux règles établies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125 IV 83 consid. 2b p. 87 s. ; ATF 120 IV 252 consid. 2d/aa p. 254 ; ATF 143 IV 500 consid. 1.2.4). Une prudence particulière s'impose à l'égard des enfants, des infirmes et des personnes âgées, et de même s'il apparaît qu'un usager de la route va se comporter de manière incorrecte (art. 26 al. 2 LCR).</w:t>
      </w:r>
    </w:p>
    <w:p>
      <w:r>
        <w:rPr>
          <w:b/>
        </w:rPr>
        <w:t>E. 2.4</w:t>
      </w:r>
    </w:p>
    <w:p>
      <w:r>
        <w:t>Si les règles susceptibles d'avoir été violées n'ont pas été énoncées dans le dispositif du jugement de première instance, il ressort des motifs de la décision querellée que le Tribunal de police a reproché à l'appelant de ne pas avoir fait preuve de l'attention requise par les circonstances et, dès lors, de ne pas avoir adapté son comportement au danger qu'il aurait dû identifier. Il est avéré et non contesté que l'appelant avait aperçu le lésé avant l'accident. En effet, ses déclarations, dans lesquelles il décrit en détail l'attitude et le rôle de la victime avant le heurt, coïncident avec celles de l'agent de sécurité. Partant, il ne peut être reproché à l'appelant de ne pas avoir fait preuve de l'attention requise, sous réserve d'une vitesse inadaptée aux circonstances. Certes, le témoin C______ l'affirme, mais le Ministère public ne le retient pas dans son acte d'accusation. Le dossier ne contient aucun élément permettant de trancher cette question, ce d'autant que la densité de la circulation à l'heure de l'accident est une donnée absente du rapport de police. La victime n'a jamais dit avoir remarqué que la voiture qui l'avait heurté roulait à une vitesse excessive. Rien ne permet donc de mettre en doute son affirmation selon laquelle il circulait prudemment à une vitesse réduite. En tout état, il circulait à une vitesse lui ayant permis d'observer l'attitude de l'agent de sécurité, ce qui plaide en faveur d'une vitesse modérée. Reste la question de savoir si, compte tenu des circonstances, son comportement était conforme aux règles de la circulation. Au regard du principe de la confiance, il semble raisonnable d'exiger du conducteur qui aperçoit un agent de sécurité aux abords de la voie sur laquelle il circule de réduire sa vitesse et d'assurer une marge de sécurité entre son véhicule et le piéton, de surcroît lorsque aucun contact visuel ne s'est préalablement établi. Faut-il au nom du même principe exiger du conducteur qu'il s'attende à ce qu'un agent chargé de réguler la circulation fasse un pas en arrière en empiétant sur sa voie de circulation ? La réponse serait positive en présence d'un enfant ou d'une personne âgée. Elle le serait aussi si la CPAR devait donner du crédit à la version du témoin C______ au sujet de la trajectoire suivie par l'appelant ou si la victime s'était positionnée à cheval sur la ligne de sécurité de la voie dépose rapide. Les déclarations du témoin C______ délivrent une version des faits dans laquelle l'appelant pourrait avoir violé les règles de la circulation en ayant franchi la ligne de sécurité pour rejoindre la voie réservée aux transports professionnels, ainsi que l'a retenu à charge le Ministère public, non sans être désavoué par le premier juge qui a écarté ce témoignage comme non crédible. La version du témoin a d'ailleurs été implicitement démentie par le lésé, lequel n'a jamais affirmé avoir été heurté dans une manœuvre de changement de voie de direction. La valeur probante de la version du témoin serait plus forte si la victime n'avait esquissé aucun geste avant le heurt. Dès lors que l'on sait que le lésé s'est retourné en faisant un pas en arrière, il a formellement empiété sur la voie de dépose rapide. En ne prêtant pas attention à la circulation automobile, il a adopté un comportement imprévisible pour l'appelant qui a pu le heurter sans opérer un changement de voie illicite. Dans cette hypothèse, la présence de son véhicule à cheval sur les deux voies de circulation peut se comprendre comme une manœuvre postérieure à l'accident propre à ne pas entraver le flux des véhicules sur la voie de dépose rapide. Si la vitesse avait été excessive et si le conducteur avait voulu changer de voie, nul doute que l'appelant n'aurait pas pu freiner au point d'immobiliser son véhicule à proximité immédiate du point d'impact. En substance, seul un ensemble de conjectures (vitesse excessive, inattention en présence d'un piéton, intention de changer de voie de circulation) fonde la culpabilité de l'appelant en la matière. La CPAR ne saurait s'en contenter, au risque de violer le principe in dubio pro reo. Compte tenu de ce qui précède, le jugement de première instance sera annulé s'agissant de l'infraction à l'art. 90 al. 1 LCR.</w:t>
      </w:r>
    </w:p>
    <w:p>
      <w:r>
        <w:rPr>
          <w:b/>
        </w:rPr>
        <w:t>E. 4.1</w:t>
      </w:r>
    </w:p>
    <w:p>
      <w:r>
        <w:t>À teneur de l'art. 106 du code pénal suisse du 21 décembre 1937 (CP ; RS 311.0),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4.2</w:t>
      </w:r>
    </w:p>
    <w:p>
      <w:r>
        <w:t>La faute de l'appelant peut être tenue pour modérée. Il a certes omis d'attendre la police avant de quitter les lieux de l'accident mais ne s'est pas dérobé pour autant. Il s'est d'emblée montré coopératif, participant notamment à l'établissement des faits par la production de photomontages dont la véracité a été admise par le lésé. Il a déclaré regretter sincèrement l'accident et a régulièrement pris des nouvelles de la victime pour laquelle il a témoigné de l'empathie. Il ne remet pas en cause en appel la violation de ses obligations en cas d'accident, ce qui marque une prise de conscience significative. L'absence d'antécédents a un effet neutre sur la peine. Vu l'acquittement de l'appelant pour infraction à l'art. 90 al. 1 LCR et l'ampleur limitée de la faute retenue pour les faits qui lui sont encore reprochés, il convient de réduire le montant de l'amende fixée par le premier juge en l'arrêtant à CHF 1'500.-. Une peine privative de liberté de substitution de 15 jours sera prononcée pour le cas où, de manière fautive, l'amende ne serait pas payée.</w:t>
      </w:r>
    </w:p>
    <w:p>
      <w:r>
        <w:rPr>
          <w:b/>
        </w:rPr>
        <w:t>E. 5</w:t>
      </w:r>
    </w:p>
    <w:p>
      <w:r>
        <w:t>5.1.1 Selon les art. 426 al. 1 et 428 al. 1 CPP, les frais de la procédure de première instance – que la CPAR est tenue de revoir lorsqu'elle rend une nouvelle décision (art. 428 al. 3 CPP) – et d'appel sont mis à la charge des parties dans la mesure où elles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