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P/4601/2018 vom 18. August 2021</w:t>
      </w:r>
    </w:p>
    <w:p>
      <w:r>
        <w:t>GE Cour de justice, 2021-08-18, FR</w:t>
      </w:r>
    </w:p>
    <w:p>
      <w:r>
        <w:rPr>
          <w:b/>
        </w:rPr>
        <w:t xml:space="preserve">Quelle: </w:t>
      </w:r>
      <w:r>
        <w:t>https://mcp.opencaselaw.ch/entscheid/ge_gerichte_P_4601_2018</w:t>
      </w:r>
    </w:p>
    <w:p>
      <w:r>
        <w:t>FR: GE_GERICHTE P/4601/2018 du 18 août 2021</w:t>
      </w:r>
    </w:p>
    <w:p>
      <w:r>
        <w:t>IT: GE_GERICHTE P/4601/2018 del 18 agosto 2021</w:t>
      </w:r>
    </w:p>
    <w:p>
      <w:pPr>
        <w:pStyle w:val="Heading2"/>
      </w:pPr>
      <w:r>
        <w:t>Regeste</w:t>
      </w:r>
    </w:p>
    <w:p>
      <w:r>
        <w:t>CAPACITÉ D'ÊTRE PARTIE;RECTIFICATION(EN GÉNÉRAL) | CPP.83; CO.718; CO.736; LP.240; CPP.115; CPP.118; CP.139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ème éd., Bâle 2014, n. 10 ad art. 83 CPP). 2.1.2. On entend par partie plaignante le lésé qui déclare expressément vouloir participer à la procédure pénale comme demandeur au pénal ou au civil (art. 118 al. 1 CPP). Le lésé est celui dont les droits ont été touchés directement par une infraction (art. 115 al. 1 CPP). Lorsqu'une infraction est perpétrée au détriment du patrimoine d'une personne morale, seule celle-ci subit un dommage et peut donc prétendre à la qualité de lésé (ATF 141 IV 380 consid. 2.3.3 ; 140 IV 155 consid. 3.3.1 ; arrêts du Tribunal fédéral 1B_507/2020 du 8 février 2021 consid. 3.1 ; 6B_608/2020 du 4 décembre 2020 consid. 3.1). Dans le cadre d'une faillite, la société conserve sa qualité de lésée au stade de la liquidation et ne perd sa capacité juridique qu’au moment de sa radiation du registre du commerce (ATF 140 IV 155 consid. 3.4.4). Les organes exécutifs peuvent accomplir des actes judiciaires au nom de la société (arrêt du Tribunal fédéral 4A_415/2014 du 12 janvier 2015 consid. 1.3). Sont notamment légitimés à représenter la société en justice les membres du conseil d'administration (art. 718 al. 1 du Code des obligations [CO]). Toutefois, lorsque la société est dissoute par l'ouverture de sa faillite (art. 736 ch. 3 CO), elle entre alors en liquidation, laquelle est effectuée par l'administration de la masse (art. 240 LP) en conformité des règles de la faillite. Dans ce cadre, l'art 740 al. 5 CO restreint de façon drastique les compétences des organes sociaux, la liquidation ayant en principe lieu par l'administration de la faillite. Ces organes ne conservent le pouvoir de la représenter que dans la mesure où leur intervention est encore nécessaire (cf. art. 740 al. 5 CO ; ATF 117 III 39 consid. 3b ; arrêt du Tribunal fédéral 4A_87/2013 du 21 janvier 2014 consid. 1.3). La dissolution de la société qui résulte de la faillite est inscrite en ajoutant à la raison de commerce la mention " en liquidation " (art. 739 al. 1 CO et 159 al. 1 let. c de l’ordonnance sur le registre du commerce) ; par voie de conséquence, les administrateurs inscrits deviennent liquidateurs, dans la limite toutefois des compétences de l’administration de la masse ou, en cas de liquidation sommaire (art. 231 LP), l’office des faillites.</w:t>
      </w:r>
    </w:p>
    <w:p>
      <w:r>
        <w:rPr>
          <w:b/>
        </w:rPr>
        <w:t>E. 2.2</w:t>
      </w:r>
    </w:p>
    <w:p>
      <w:r>
        <w:t>En l'espèce, seule la société B______ SA dispose de la qualité de partie plaignante dans la présente cause, puisque seul son patrimoine a été lésé par les faits reprochés à l’appelant. En outre, la faillite de cette société a été prononcée le 11 décembre 2017 avec effet au 26 février 2018. Il en résulte que C______ ne dispose plus des prérogatives d'administrateur, sous réserve de la nécessité d’intervenir selon l’art. 740 al. 5 CO. A cet égard, le dépôt de sa plainte pénale avait pour but de préserver les biens de la société : cette intervention peut dès lors être jugée comme nécessaire, vu le caractère urgent, et il ne ressort pas du dossier qu'un autre organe ou la masse était en mesure d'agir. En revanche, compte tenu de la limitation de ses pouvoirs de représentation, C______ ne pouvait pas engager la société dans une procédure pénale au-delà du dépôt de plainte, et notamment pas la constituer partie plaignante au civil et engager des frais de ce fait. Il sera dès lors procédé d'office à la rectification, en ceci que c'est la société B______ SA en liquidation qui est partie plaignante à la procédure (uniquement au pénal), et non C______. La présente décision sera dès lors également notifiée à l’Office des faillites.</w:t>
      </w:r>
    </w:p>
    <w:p>
      <w:r>
        <w:rPr>
          <w:b/>
        </w:rPr>
        <w:t>E. 3.1</w:t>
      </w:r>
    </w:p>
    <w:p>
      <w:r>
        <w:t>L'appelant soutient ne pas avoir commis un vol, il aurait agi sur mandat de B______ SA. Subsidiairement, il se prévaut d’erreurs sur les faits et sur l'illicéité.</w:t>
      </w:r>
    </w:p>
    <w:p>
      <w:r>
        <w:rPr>
          <w:b/>
        </w:rPr>
        <w:t>E. 3.1.1</w:t>
      </w:r>
    </w:p>
    <w:p>
      <w:r>
        <w:t>La présomption d'innocence, garantie par les art. 10 CPP, 32 al. 1 de la Constitution fédérale de la Confédération suisse (Cst.), 14 par. 2 du Pacte international relatif aux droits civils et politiques (Pacte ONU II) et 6 par. 2 Convention de sauvegarde des droits de l'homme et des libertés fondamentales (CEDH), ainsi que son corollaire, le principe in dubio pro reo ,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Agit sous l'emprise d'une erreur sur les faits celui qui n'a pas connaissance ou qui se base sur une appréciation erronée d'un élément constitutif d'une infraction pénale (ATF 129 IV 238 consid. 3.1 ; arrêt du Tribunal fédéral 6B_1445/2019 du 17 avril 2020 consid. 3.1). L'auteur ne se trouve pas dans l'erreur lorsqu'il est conscient, au moment d'agir, d'ignorer des éléments factuels ou juridiques qui lui seraient importants pour apprécier la portée de son propre comportement (ATF 135 IV 12 consid. 2.3.1 ; arrêt du Tribunal fédéral 6B_1072/2020 du 26 mai 2021 consid. 3.1).</w:t>
      </w:r>
    </w:p>
    <w:p>
      <w:r>
        <w:rPr>
          <w:b/>
        </w:rPr>
        <w:t>E. 3.1.2</w:t>
      </w:r>
    </w:p>
    <w:p>
      <w:r>
        <w:t>L'art. 139 ch. 1 CP (vol)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qu'au regard des modalités d'appropriation de la chose. Pour qu'il y ait vol, il faut que l'auteur soustraie la chose à autrui, c'est-à-dire qu'il brise la possession d'autrui pour constituer une nouvelle possession de la chose. En matière pénale, la possession (" Gewahrsam ") est définie comme un pouvoir de fait sur la chose, selon les règles de la vie sociale ou les circonstances concrètes du cas d'espèce et non selon les règles du droit civil. Elle présuppose la disposition effective de la chose et la volonté de la posséder (ATF 132 IV 108 consid. 2.1 ; arrêts du Tribunal fédéral 6B_375/2020 du 9 juillet 2020 consid. 3.4 ; 6B_1056/2018 du 29 janvier 2019 consid. 2.3.2). L'erreur sur l'illicéité vise le cas où l'auteur agit en ayant connaissance de tous les éléments constitutifs de l'infraction, et donc avec intention, mais en croyant par erreur agir de façon licite (ATF 129 IV 238 consid. 3.1 ; 141 IV 336 consid. 2.4.3). Ceci dit, le justiciable doit faire tout son possible pour connaître la loi et son ignorance ne le protège que dans des cas exceptionnels (ATF 129 IV 238 consid. 3.1 ; arrêts du Tribunal fédéral 6B_1228/2019 du 10 décembre 2019 consid. 3.1 ; 6B_77/2019 du 11 février 2019 consid. 2.1 non publié aux ATF 145 IV 17 ). Pour exclure l'erreur de droit, il suffit que l'auteur ait eu le sentiment de faire quelque chose de contraire à ce qui se doit ou qu'il eût dû avoir ce sentiment (ATF 129 IV 6 consid. 4.1 ; arrêt du Tribunal fédéral 6B_1228/2019 précité consid. 3.1). Le Tribunal fédéral considère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arrêt du Tribunal fédéral 6B_1228/2019 précité consid. 3.1).</w:t>
      </w:r>
    </w:p>
    <w:p>
      <w:r>
        <w:rPr>
          <w:b/>
        </w:rPr>
        <w:t>E. 3.2</w:t>
      </w:r>
    </w:p>
    <w:p>
      <w:r>
        <w:t>En l'espèce, l'appelant s'est rendu dans l'entrepôt de B______ SA où il a chargé un conteneur, propriété et possession de ladite société, qu'il a rapporté et conservé dans son propre entrepôt. Son but était d'obtenir un moyen de contrainte afin d'être payé. L'appelant dit avoir agi sur instruction de la société. Ses explications, en plus d'être mensongères pour certaines, ne sont pas crédibles et sont contredites par la totalité des éléments au dossier. Le fait que C______ aurait été au courant du transport litigieux est objectivement mensonger. Il n'a jamais mandaté l'appelant pour emporter ce conteneur, on ne voit d'ailleurs pas pourquoi il porterait plainte pour le transport d'une marchandise qu'il aurait ordonné lui-même. L'appelant n'a jamais été en mesure de produire une documentation écrite à propos de cette transaction et a même changé sa version, déclarant que c'était finalement un employé de B______ SA qui lui avait passé commande, sans qu'il puisse toutefois fournir ni l'identité de cette personne, ni la destination finale du transport. On doit relever à cet égard qu'il avait d'abord déclaré au témoin I______ qu'il devait apporter ce conteneur à l'Office des poursuites, alors que devant la police il expliquait avoir reçu une prétendue commande de B______ SA. De surcroît, le témoin L______, l'une des dernières employées à travailler sur site avant sa fermeture définitive et où il n'y avait d’ailleurs plus aucune ligne téléphonique depuis le 31 janvier 2018, a confirmé ne jamais avoir donné des instructions pour le déplacement d'un conteneur, notamment pas le 19 février 2018. Le fait que cette commande ait véritablement existé est encore plus invraisemblable puisque la société était inactive depuis plusieurs mois et qu'il ne restait quasiment plus aucun employé. Le jour des séquestres du MP, il n'en restait même plus aucun, si ce n'est le concierge. Ce constat ressort des témoignages recueillis : le fait que l'appelant n'aurait, lui, rien remarqué, ou n'aurait pas vu les scellés du MP, n'est pas crédible non plus. Etre allé trouver les témoins G______, dans l'immeuble abritant les locaux de B______ SA, n'est d'aucun secours à l'appelant. Il a indiqué que ceux-ci étaient employés de la société B______ SA, ce qui était objectivement faux, ces deux personnes ayant indiqué travailler dans le même immeuble, qui abritait plusieurs sociétés différentes, sans qu'il ressorte qu'ils étaient affiliés à B______ SA, ce qu'a finalement reconnu l'appelant. Quant au fait qu'il ait indiqué à G______ avoir un contrat pour déplacer ce conteneur, ces propos sont, comme constaté précédemment, mensongers. Quand bien même il aurait été établi qu'il y eu mandat de transport, l'appelant reconnait lui-même qu'il n'avait jamais eu l'intention de l'honorer, souhaitant attendre que B______ SA se rende compte de la disparition du conteneur, telle une sorte de rappel à l'ordre pour ses créances. Une telle démarche, en plus d'être commercialement douteuse, n'en demeurerait pas moins pénalement répréhensible. Ces constats suffisent pour remplir les éléments objectifs et subjectifs du vol. L'appelant se prévaut d'une erreur sur les faits. Vu les considérations qui précèdent, il n'est aucunement crédible qu’il se soit cru au bénéfice d'une commande passée par B______ SA. Pour le surplus, on ne voit pas en quoi le fait que l'appelant avait ignoré la procédure d'exécution forcée menée contre B______ SA, aurait une pertinence. Au surplus, cette affirmation n'emporte aucune conviction dans la mesure où l'appelant avait lui-même soumis une réquisition de poursuite contre cette société, après plusieurs factures impayées, et que le jour des faits, il a déclaré de façon mensongère au gardien de l'entrepôt que le conteneur qu'il venait enlever avait pour destination " l'Office des poursuites ". Quant aux conditions de l'exercice d'un droit de rétention, au sens de l'art. 895 du Code civil, il est clairement établi qu'elles ne sont pas réalisées. L'appelant n'a jamais été en possession du conteneur avec le consentement de B______ SA, dont il a brisé lui-même la possession, et il n'existe aucun lien de connexité entre ce conteneur et les arriérés dont l'appelant dit son entreprise créancière. L'appelant est doté d'une grande expérience dans le domaine du transport de matériaux, il a même créé une entreprise avec ce but, dont il est l'administrateur. Il a ainsi effectué plusieurs transports. Dès lors, on ne peut raisonnablement considérer que, même avec des connaissances juridiques limitées, il ne se savait pas agir de manière coupable en venant sur la propriété d'autrui, sous un prétexte fallacieux, pour soustraire indûment un bien mobilier dans le but d'obtenir, par effet de surprise, un " levier " contre son débiteur. Il ne saurait donc se prévaloir d'une erreur de droit. Sa condamnation pour vol doit être confirmée.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4.2</w:t>
      </w:r>
    </w:p>
    <w:p>
      <w:r>
        <w:t>En l'occurrence, la faute de l'appelant n'est pas négligeable. Il est venu sur la propriété d'autrui pour s'emparer d'un bien mobilier qui ne lui appartenait pas, et cela en trompant délibérément un employé, sous un prétexte fallacieux. Il a également instrumentalisé l'un de ses propres employés, pour qu'il lui vienne en aide, lui faisant de la sorte prendre le risque d'être impliqué dans une procédure pénale. Son mobile doit être considéré comme égoïste. Si on peut comprendre la frustration d'être confronté, sur une longue période, à un mauvais débiteur, ceci ne saurait excuser la commission d'un vol. Il avait d'autres possibilités pour faire valoir ses droits de créancier. Sa situation personnelle ne justifie pas non plus cet acte, l'appelant dispose d'une bonne situation financière, et le montant dont il dit son entreprise créancière n'est pas de nature à lui faire risquer l'indigence ou la santé financière de cette dernière. Sa collaboration n'est pas bonne. Il a varié dans ses explications, au demeurant non crédibles, et parfois mensongères, ceci même devant les autorités pénales. Aussi, la peine pécuniaire de 30 jours-amende à CHF 120.- le jour, fixée par le TP, est conforme à sa situation personnelle et respecte les critères légaux. Le sursis et le délai d'épreuve de trois ans lui sont acquis. Le jugement entrepris sera, partant, confirmé sur ce point.</w:t>
      </w:r>
    </w:p>
    <w:p>
      <w:r>
        <w:rPr>
          <w:b/>
        </w:rPr>
        <w:t>E. 5</w:t>
      </w:r>
    </w:p>
    <w:p>
      <w:r>
        <w:t>L'appelant conteste l'indemnisation, octroyée à C______, pour les dépenses obligatoires occasionnées par la procédure (art. 433 CP).</w:t>
      </w:r>
    </w:p>
    <w:p>
      <w:r>
        <w:rPr>
          <w:b/>
        </w:rPr>
        <w:t>E. 5.1</w:t>
      </w:r>
    </w:p>
    <w:p>
      <w:r>
        <w:t>La partie plaignante peut demander au prévenu une juste indemnité pour les dépenses obligatoires occasionnées par la procédure (art. 433 al. 1 CPP). Lorsqu'il s'agit de déterminer qui – de la société faillie (par ses organes) ou de la masse en faillite, représentée par l'administration de la faillite, agissant en tant qu'organe officiel de la masse – peut disposer d'un (prétendu) droit, l'interprétation de l'art. 740 al. 5 CO est indissociable de celle portant sur l'art. 204 LP (incapacité du failli de disposer). La société faillie, par ses organes sociaux, ne peut plus disposer des droits qui appartiennent à la masse (cf. art. 204 LP) et doivent être liquidés conformément aux règles de la faillite (ATF 90 II 247 consid. 2 ; arrêts du Tribunal fédéral 4A_87/2013 du 22 janvier 2014 consid. 1.3 ; 5P_376/2002 du 21 novembre 2002 consid. 2.2 et les références citées).</w:t>
      </w:r>
    </w:p>
    <w:p>
      <w:r>
        <w:rPr>
          <w:b/>
        </w:rPr>
        <w:t>E. 5.2</w:t>
      </w:r>
    </w:p>
    <w:p>
      <w:r>
        <w:t>En l'espèce, il est établi que la qualité de partie plaignante appartient à la société B______ SA, à l'exclusion de toute prérogative pour C______ en la matière (cf. consid. 2.1.2 et 2.2). En outre, il ne résulte pas du dossier que la masse aurait renoncé à ses droits procéduraux, dans le cadre de la présente cause, ni qu’elle aurait mandaté l’avocate constituée dans la présente cause. Dès lors, c'est à raison que l'appelant soutient que les droits de C______ n'ont jamais été atteints par l'infraction. Les conclusions en indemnisation de première instance de ce dernier, représenté par une avocate, sont exclusivement à son nom, alors que c'est uniquement la société B______ SA, touchée dans ses droits, qui était légitimée à agir, à mandater un conseil et, le cas échéant, à demander une indemnisation. Dès lors, les conclusions en indemnisation de C______ sont irrecevables. L'appel sera admis sur ce point et le jugement entrepris réformé dans le sens précité.</w:t>
      </w:r>
    </w:p>
    <w:p>
      <w:r>
        <w:rPr>
          <w:b/>
        </w:rPr>
        <w:t>E. 6</w:t>
      </w:r>
    </w:p>
    <w:p>
      <w:r>
        <w:t>6.1.1. Aux termes de l'art. 428 al. 3 CPP, si l'autorité de recours rend elle-même une nouvelle décision, elle se prononce également sur les frais fixés par l'autorité inférieure. Le sort des frais de procédure de première instance est régi en l'espèce par l'art. 426 al. 1 première phrase CPP, aux termes duquel le prévenu supporte les frais de procédure s'il est condamné. Le prévenu doit supporter les frais en cas de condamnation, car il a occasionné, par son comportement, l'ouverture et la mise en œuvre de l'enquête pénale (ATF 138 IV 248 consid. 4.4.1). 6.1.2. En l'espèce, l'ouverture de cette procédure a été occasionnée par le seul fait du comportement de l'appelant. Il se justifie dès lors qu'il supporte les frais de première instance. Compte tenu du résultat de la procédure d’appel, l’émolument complémentaire de jugement de première instance sera toutefois laissé à la charge de l’Etat. 6.2.1.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 6.2.2. En l'espèce, l'appelant obtient très partiellement gain de cause et succombe sur le point principal. Par conséquent, il supportera les trois quarts des frais de la procédure d'appel.</w:t>
      </w:r>
    </w:p>
    <w:p>
      <w:r>
        <w:rPr>
          <w:b/>
        </w:rPr>
        <w:t>E. 7.1</w:t>
      </w:r>
    </w:p>
    <w:p>
      <w:r>
        <w:t>Selon l'art. 436 al. 2 CPP, si ni un acquittement total ou partiel, ni un classement de la procédure ne sont prononcés mais que le prévenu obtient gain de cause sur d’autres points, il a droit à une juste indemnité pour ses dépenses. 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 A Genève, la Cour de justice applique au chef d'étude un tarif horaire de CHF 400.- ou CHF 450.-. En l'espèce, l'appelant est au bénéfice d'une défense privée, pour laquelle il fait valoir une prétention en indemnisation de CHF 5'000.- pour la procédure d'appel. Aucune note d'honoraires ne figure au dossier. Il sera ainsi statué d'office, à la vue du dossier et de la complexité de l'affaire. L'indemnisation des frais d’avocat de l'appelant, qui obtient gain de cause uniquement sur la question de l’indemnité de procédure, sera arrêtée à deux heures d’activité au taux horaire de CHF 400.-, vu la complexité relative de la cause, plus TVA, soit CHF 861.60. L'appelant supporte les frais de procédure de première instance, il n'y a pas lieu à indemnisation pour celle-ci. La compensation sera ordonnée conformément à l'art.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