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P/4592/2019 vom 15. Dezember 2021</w:t>
      </w:r>
    </w:p>
    <w:p>
      <w:r>
        <w:t>GE Cour de justice, 2021-12-15, FR</w:t>
      </w:r>
    </w:p>
    <w:p>
      <w:r>
        <w:rPr>
          <w:b/>
        </w:rPr>
        <w:t xml:space="preserve">Quelle: </w:t>
      </w:r>
      <w:r>
        <w:t>https://mcp.opencaselaw.ch/entscheid/ge_gerichte_P_4592_2019</w:t>
      </w:r>
    </w:p>
    <w:p>
      <w:r>
        <w:t>FR: GE_GERICHTE P/4592/2019 du 15 décembre 2021</w:t>
      </w:r>
    </w:p>
    <w:p>
      <w:r>
        <w:t>IT: GE_GERICHTE P/4592/2019 del 15 dicembre 2021</w:t>
      </w:r>
    </w:p>
    <w:p>
      <w:pPr>
        <w:pStyle w:val="Heading2"/>
      </w:pPr>
      <w:r>
        <w:t>Regeste</w:t>
      </w:r>
    </w:p>
    <w:p>
      <w:r>
        <w:t>VIOLATION D'UNE OBLIGATION D'ENTRETIEN;FIXATION DE LA PEINE | CP.217; CP.47</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Cela étant,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 (ATF 114 IV 124 consid. 3b p. 124 s. ; arrêt du Tribunal fédéral 6B_1017/2016 du 10 juillet 2017 consid. 2.4). Sur le plan subjectif, l'infraction réprimée par l'art. 217 CP doit être commise intentionnellement.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2.2</w:t>
      </w:r>
    </w:p>
    <w:p>
      <w:r>
        <w:t>En l'espèce, les revenus réels de l'appelant pendant la période pénale sont difficiles à établir. Il était actionnaire unique de la société C______ SA dont il a été administrateur puis directeur avec signature individuelle. Il a exposé un revenu en tant que salarié de cette société, occupé à un taux qui aurait varié au fil du temps, sans que l'appelant ne démontre jamais les raisons de cette variation. Il ne s'est jamais exprimé sur ses revenus complémentaires tels que retenus par les juridictions civiles, soit CHF 1'350.- correspondant à la moitié des revenus accessoires versés sur le compte commun des parties pendant la vie commune, et ce alors que l'intimée a fait valoir dans la présente procédure que deux sociétés étaient encore domiciliées chez lui. L'appelant n'a pas non plus mis en location l'appartement situé en France, dont il admet être seul utilisateur. Il n'a produit aucun document venant étayer ses affirmations, au demeurant fort vagues, selon lesquelles il aurait recherché un emploi mieux rémunéré comme il en avait le devoir, et qui lui aurait permis de payer ne serait-ce qu'en partie la contribution d'entretien mise à sa charge. À ce propos, et comme relevé par le premier juge, l'insaisissabilité de l'appelant, constatée en 2018, mais contredite néanmoins par la suite par une saisie de CHF 225.- par mois, n'emporte pas à elle seule son innocence au regard de l'art. 217 CP : le droit de la famille ainsi que le droit pénal se basent sur les revenus hypothétiques, ce qui n'est pas le cas du droit des poursuites dont les calculs se fondent sur les revenus réels. L'appelant n'a en outre donné aucune explication sur les éléments de fortune au moyen desquels il a acquis un bien immobilier au Portugal, malgré les pièces fournies par l'intimée. Il apparaît ainsi objectivement que sur la base des seuls éléments figurant au dossier, dont il ressort clairement qu'ils ne sont pas complets, l'appelant aurait eu, pendant la période pénale, les moyens de payer à tout le moins une partie de la contribution d'entretien due. L'appelant avait pleinement conscience de l'obligation fixée judiciairement. Il a ainsi agi intentionnellement. Partant, le verdict culpabilité prononcé par le premier juge sera confirmé.</w:t>
      </w:r>
    </w:p>
    <w:p>
      <w:r>
        <w:rPr>
          <w:b/>
        </w:rPr>
        <w:t>E. 3</w:t>
      </w:r>
    </w:p>
    <w:p>
      <w:r>
        <w:t>3.1.1. L'art. 217 al. 1 CP est passible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3.1.3. Le sursis est accordé en application de l'art. 42 CP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rPr>
          <w:b/>
        </w:rPr>
        <w:t>E. 3.2</w:t>
      </w:r>
    </w:p>
    <w:p>
      <w:r>
        <w:t>En l'espèce, l'appelant ne conteste pas la peine prononcée au-delà de l'acquittement plaidé. Le genre et la quotité de la peine prononcée seront confirmés, comme étant adéquats aux faits de la cause et conformes au droit. La faute de l'appelant n'est en effet certainement pas négligeable. La période pénale est de plus d'une année. Il a déjà été condamné pour des faits similaires et persiste à estimer la contribution d'entretien mise à sa charge comme étant infondée. Sa collaboration a été mauvaise. Il n'a fourni aucune explication sur les éléments recueillis qui lui étaient défavorables et qui auraient commandé un minimum d'informations. Il n'a pas produit non plus les pièces qu'il s'était engagé à fournir, notamment ses fiches de paie. Sa prise de conscience paraît inexistante. L'ensemble de ces éléments commande le prononcé d'une peine sans sursis. La non révocation du sursis antérieur est en revanche acquise à l'appelant, de même que le montant du jour-amende.</w:t>
      </w:r>
    </w:p>
    <w:p>
      <w:r>
        <w:rPr>
          <w:b/>
        </w:rPr>
        <w:t>E. 4</w:t>
      </w:r>
    </w:p>
    <w:p>
      <w:r>
        <w:t>L'appelant, qui succombe, supportera les frais de la procédure envers l'Etat (art. 428 CPP).</w:t>
      </w:r>
    </w:p>
    <w:p>
      <w:r>
        <w:rPr>
          <w:b/>
        </w:rPr>
        <w:t>E. 5</w:t>
      </w:r>
    </w:p>
    <w:p>
      <w:r>
        <w:t>Il sera dès lors débouté de ses conclusions en indemnisation fondées sur l'art. 429 CPP.</w:t>
      </w:r>
    </w:p>
    <w:p>
      <w:r>
        <w:rPr>
          <w:b/>
        </w:rPr>
        <w:t>E. 6</w:t>
      </w:r>
    </w:p>
    <w:p>
      <w:r>
        <w:t>6.1. L'art. 433 al. 1 let. a CPP, applicable en instance de recours (art. 436 al. 1 CPP), signifie que, si la partie plaignante a conclu à une indemnité dans une procédure de recours où elle a gain de cause, cette indemnité sera mise à la charge du prévenu, non de l'Etat ( ACPR/140/2013 du 12 avril 2013 ; ACPR/230/2013 du 8 mai 2013).</w:t>
      </w:r>
    </w:p>
    <w:p>
      <w:r>
        <w:rPr>
          <w:b/>
        </w:rPr>
        <w:t>E. 6.2</w:t>
      </w:r>
    </w:p>
    <w:p>
      <w:r>
        <w:t>En l'espèce, la note de frais et honoraires produite par M e M______, conseil juridique gratuit de l'intimée, satisfait les exigences légales et jurisprudentielles applicables. L'appelant sera dès lors condamné à verser à B______ la somme de CHF 2'730.25 à titre d'indemnité pour les dépenses obligatoires occasionnées par la procédure d'appel. Le montant fixé au même titre en première instance, non critiqué en appel au-delà de l'acquittement plaidé, sera par ailleurs confirmé.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