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P/4575/2018 vom 24. Februar 2021</w:t>
      </w:r>
    </w:p>
    <w:p>
      <w:r>
        <w:t>GE Cour de justice, 2021-02-24, FR</w:t>
      </w:r>
    </w:p>
    <w:p>
      <w:r>
        <w:rPr>
          <w:b/>
        </w:rPr>
        <w:t xml:space="preserve">Quelle: </w:t>
      </w:r>
      <w:r>
        <w:t>https://mcp.opencaselaw.ch/entscheid/ge_gerichte_P_4575_2018</w:t>
      </w:r>
    </w:p>
    <w:p>
      <w:r>
        <w:t>FR: GE_GERICHTE P/4575/2018 du 24 février 2021</w:t>
      </w:r>
    </w:p>
    <w:p>
      <w:r>
        <w:t>IT: GE_GERICHTE P/4575/2018 del 24 febbraio 2021</w:t>
      </w:r>
    </w:p>
    <w:p>
      <w:pPr>
        <w:pStyle w:val="Heading2"/>
      </w:pPr>
      <w:r>
        <w:t>Regeste</w:t>
      </w:r>
    </w:p>
    <w:p>
      <w:r>
        <w:t>Réquisitions de preuves;IN DUBIO PRO REO;INJURE;DOMMAGES À LA PROPRIÉTÉ(DROIT PÉNAL);LÉSION CORPORELLE SIMPLE;VOIES DE FAIT;MENACE(DROIT PÉNAL) | CPP.389; CP.177.al1; CP.144.al1; CP.123.ch1; CP.126.al1; CP.180.al1</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1.2.1. L'art. 343 al. 3 CPP impose, dans les cas qui y sont énumérés, une immédiateté (unique) en procédure de première instance mais en principe pas en deuxième instance. Les preuves administrées par le tribunal de première instance doivent être répétées en deuxième instance lorsque l'une des conditions de l'art. 389 al. 2 CPP est réalisée. Il y a aussi lieu de procéder à une administration immédiate des preuves lorsque celle-ci a été omise ou effectuée de manière incomplète en première instance et que la connaissance directe du moyen de preuve apparaît nécessaire au prononcé du jugement, notamment lorsque les preuves disponibles se limitent à une confrontation " parole contre parole" (" Aussage gegen Aussage "). Dans ces cas, le seul contenu de la déposition d'une personne ( ce qu ' elle dit ) ne fait pas encore apparaître une nouvelle administration de la preuve comme nécessaire. Est déterminante la question de savoir si le jugement dépend de manière décisive de son comportement au moment de sa déposition ( comment elle le dit ). Le tribunal dispose d'une certaine marge d'appréciation au moment de déterminer si une nouvelle administration de la preuve est nécessaire (ATF 140 IV 196 consid. 4.4.1, 4.4.4 et les références citées = JdT 2015 IV 60). 1.2.2. L'art. 389 al. 3 CPP règle les preuves complémentaires.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141 I 60 consid. 3.3 ; arrêts du Tribunal fédéral 6B_704/2017 du 28 décembre 2017 consid. 1.1 ; 6B_1369/2016 du 20 juillet 2017 consid. 2.1). 1.2.3. L'appelante requiert, à titre préjudiciel, la ré-audition de D______, l'audition de E______, l'audition de la Dre F______ ainsi qu'une expertise médicale sur sa propre personne. La juridiction d'appel se rallie à cet égard aux arguments développés par le premier juge. La CPAR ne voit en effet pas quels éléments pertinents supplémentaires ces mesures seraient susceptibles d'apporter au dossier, qui est en l'état d'être jugé, étant précisé que les intéressés ont déjà été entendus en contradictoire en cours de procédure et que les preuves disponibles ne se limitent pas in casu à une confrontation de " parole contre parole" . L'audition de la Dre F______ ne s'impose pas d'avantage, celle-ci n'ayant pas été témoin direct des faits et rien au dossier ne permet de douter des divers écrits dont elle est l'auteur, lesquels font état chez la prévenue d'une dépression sévère et de difficultés thymiques importantes, mais nullement d'une éventuelle pathologie susceptible de remettre en cause sa responsabilité pénale au moment des faits. Aucun autre élément du dossier n'étant de nature à fonder un sérieux doute quant à la responsabilité de l'intéressée, l'expertise psychiatrique requise ne sera dès lors pas mise en oeuvre. Partant, les réquisitions de preuve sollicitées par l'appelante doivent être rejetées.</w:t>
      </w:r>
    </w:p>
    <w:p>
      <w:r>
        <w:rPr>
          <w:b/>
        </w:rPr>
        <w:t>E. 2</w:t>
      </w:r>
    </w:p>
    <w:p>
      <w:r>
        <w:t>Aux termes de l'art. 177 al. 1 CP, celui qui, de toute autre manière, aura, par la parole, l'écriture, l'image, le geste ou par des voies de fait, attaqué autrui dans son honneur sera, sur plainte, puni d'une peine pécuniaire de 90 jours-amende au plus. L'art. 144 al. 1 CP punit d'une peine privative de liberté de trois ans au plus ou d'une peine pécuniaire, celui qui, sans droit, aura modifié, effacé, ou mis hors d'usage des données enregistrées ou transmises électroniquement ou selon un mode similaire. Selon l'art. 123 ch. 1 CP, celui qui, intentionnellement, aura fait subir à une personne une autre atteinte à l'intégrité corporelle ou à la santé (lésions corporelles simples) sera, sur plainte, puni d'une peine privative de liberté de trois ans au plus ou d'une peine pécuniaire. En vertu de l'art. 126 al. 1 CP, celui qui se sera livré sur une personne à des voies de fait qui n'auront causé ni lésion corporelle ni atteinte à la santé sera, sur plainte, puni d'une amende. Celui qui, par une menace grave, aura alarmé ou effrayé une personne sera, sur plainte, puni d'une peine privative de liberté de trois ans au plus ou d'une peine pécuniaire (art. 180 al. 1 CP).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2.4</w:t>
      </w:r>
    </w:p>
    <w:p>
      <w:r>
        <w:t>Les verdicts de culpabilité prononcés par le premier juge seront ainsi confirmés.</w:t>
      </w:r>
    </w:p>
    <w:p>
      <w:r>
        <w:rPr>
          <w:b/>
        </w:rPr>
        <w:t>E. 3</w:t>
      </w:r>
    </w:p>
    <w:p>
      <w:r>
        <w:t>3.1.1 .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3.1.2. En cas de concours réel d'infraction, la peine d'ensemble est fixée selon le droit en vigueur au moment du jugement (R. ROTH / L. MOREILLON [éds], Commentaire romand, Code pénal I, art. 1-110 CP , Bâle 2009, n. 19 ad art. 2 ; dans le même sens, M. NIGGLI / H. WIPRÄCHTIGER, Basler Kommentar Strafrecht I : Art. 1-110 StGB, Jugendstrafgesetz , 3 e éd., Bâle 2013, n. 10 ad art. 2). 3.1.3. En l'espèce, les infractions reprochées à l'appelante sont à la fois antérieures et postérieures à l'entrée en vigueur du nouveau droit des sanctions le 1 er janvier 2018. Comme l'application de l'ancienne ou de la nouvelle teneur du droit des sanctions ne conduit en l'espèce pas à un résultat différent, et, dans la mesure où les principes de fixation de la peine impliquent le prononcé d'une peine d'ensemble pour les infractions en concours, il sera fait application du nouveau droit.</w:t>
      </w:r>
    </w:p>
    <w:p>
      <w:r>
        <w:rPr>
          <w:b/>
        </w:rPr>
        <w:t>E. 3.2</w:t>
      </w:r>
    </w:p>
    <w:p>
      <w:r>
        <w:t>La peine pécuniaire ne peut excéder 180 jours-amende (art. 34 al. 1 CP) et le montant du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3.4</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Le juge a l'obligation d'aggraver la peine en cas de concours d'infractions (ATF 103 IV 225 ; arrêt du Tribunal fédéral 6B_1216/2017 du 11 juin 2018 consid. 1.1.1).</w:t>
      </w:r>
    </w:p>
    <w:p>
      <w:r>
        <w:rPr>
          <w:b/>
        </w:rPr>
        <w:t>E. 3.5</w:t>
      </w:r>
    </w:p>
    <w:p>
      <w:r>
        <w:t>En l'espèce, la faute de l'appelante est non négligeable. Elle s'en est prise à l'intégrité physique et à l'honneur des parties plaignantes, de manière répétée à l'égard de son époux. Ses mobiles, purement égoïstes, consistent en une colère et une impulsivité mal maîtrisées aux dépens d'autrui. La situation personnelle de l'appelante n'explique en rien ses actes. Même dans un contexte de séparation difficile, ses agissements ne se justifient nullement. La collaboration ainsi que la prise de conscience de l'appelante ont été mauvaises tout au long de la procédure. Elle a nié l'évidence - certains de ses propos étant en contradiction manifeste avec les éléments recueillis dans la procédure - et a varié dans ses déclarations. Elle a également tenté de rejeter la responsabilité de ses agissements sur B______, l'accusant d'avoir lui-même eu des comportements violents envers elle. Elle n'a pas daigné prononcer la moindre excuse pour les personnes dont l'honneur et l'intégrité physique ont été atteints par ses comportements. Il y a concours d'infractions, facteur aggravant. En l'espèce, la CPAR considère comme juste et adéquate la peine pécuniaire de 120 jours-amende prononcée par le TP pour sanctionner les lésions corporelles simples (commises à réitérées reprises), infraction abstraitement la plus grave. C'est encore à juste titre que le TP a augmenté cette peine de 10 jours-amende pour les dommages à la propriété (peine hypothétique de 20 jours), de 10 jours pour l'injure (peine hypothétique de 20 jours) et de 10 jours pour la tentative de menaces (peine hypothétique de 20 jours). La peine pécuniaire de 150 jours-amende sera dès lors confirmée. Le montant du jour-amende fixé à CHF 40.- par le premier juge, non contesté au-delà de l'acquittement plaidé, paraît adéquat au vu de la situation économique de l'appelante, laquelle se déclare sans emploi, au bénéfice d'une rente assurance-invalidité de CHF 1'300.- pour sa fille handicapée et au bénéfice de l'aide sociale pour le surplus. Le sursis lui est acquis et le délai d'épreuve de trois ans adéquat. L'amende de CHF 1'000.- (dont la peine privative de liberté de substitution est fixée à 10 jours) pour les deux occurrences de voies de fait sera également confirmée, étant adéquate et conforme aux dispositions légales applicables (art. 106 CP), son montant n'étant par ailleurs pas contesté en appel.</w:t>
      </w:r>
    </w:p>
    <w:p>
      <w:r>
        <w:rPr>
          <w:b/>
        </w:rPr>
        <w:t>E. 4</w:t>
      </w:r>
    </w:p>
    <w:p>
      <w:r>
        <w:t>L'appelante, qui succombe, supportera les frais de la procédure envers l'État (art. 428 CPP). La mise à sa charge des frais de la procédure de première instance sera confirmée.</w:t>
      </w:r>
    </w:p>
    <w:p>
      <w:r>
        <w:rPr>
          <w:b/>
        </w:rPr>
        <w:t>E. 5</w:t>
      </w:r>
    </w:p>
    <w:p>
      <w:r>
        <w:t>La culpabilité de l'appelante étant confirmée, sa condamnation à la réparation du dommage matériel subi par le plaignant E______ le sera également, soit CHF 352.- correspondant à la partie du montant de la réparation des lunettes non prise en charge par l'assurance invalidité ( cf. art. 122 al. 1 CPP art. 41 al. 1 de la loi fédérale complétant le Code civil suisse [CO]).</w:t>
      </w:r>
    </w:p>
    <w:p>
      <w:r>
        <w:rPr>
          <w:b/>
        </w:rPr>
        <w:t>E. 6</w:t>
      </w:r>
    </w:p>
    <w:p>
      <w:r>
        <w:t>6.1.1. Le défenseur d'office ou le conseil juridique gratuit ( cf. art. 138 al. 1 CPP) est indemnisé selon le tarif horaire suivant, débours de l'étude inclus : avocat stagiaire CHF 110.- (let. a) ; collaborateur CHF 150.- (let. b) ; chef d'étude CHF 200.- (let. c). En cas d'assujettissement, l'équivalent de la TVA est versé en sus (art. 135 al. 1 CPP et art. 16 du règlement sur l'assistance juridique [RAJ]). 6.1.2.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6.1.3.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6.1.4.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et CHF 100.- pour les chefs d'étude, dite rémunération étant allouée d'office par la juridiction d'appel pour les débats devant elle.</w:t>
      </w:r>
    </w:p>
    <w:p>
      <w:r>
        <w:rPr>
          <w:b/>
        </w:rPr>
        <w:t>E. 6.2</w:t>
      </w:r>
    </w:p>
    <w:p>
      <w:r>
        <w:t>En l'occurrence, de l'état de frais de Me L______, défenseur d'office de l'appelante, seront retranchées 4 heures et 40 minutes de conférence avec la cliente, étant considéré que 1 heure et 30 minutes étaient suffisantes en l'espèce pour discuter avec la cliente du dossier qui était connu de l'avocat pour l'avoir plaidé en première instance. Seront également retranchées 30 minutes du poste "lecture et étude du dossier, not. jugement du Tribunal de police" et les 30 minutes du poste "rédaction déclaration d'appel" , ces activités étant comprises dans le forfait pour démarches diverses. En conclusion, la rémunération de Me L______ sera arrêtée à CHF 2'496.05 correspondant à 10 heures et 5 minutes d'activité au tarif de CHF 200.-/heure (CHF 2'016.-), plus la majoration forfaitaire de 10% au vu de l'activité déployée en première instance (CH 201.60), la vacation de CHF 100.- et l'équivalent de la TVA au taux de 7.7% en CHF 178.45.</w:t>
      </w:r>
    </w:p>
    <w:p>
      <w:r>
        <w:rPr>
          <w:b/>
        </w:rPr>
        <w:t>E. 6.3</w:t>
      </w:r>
    </w:p>
    <w:p>
      <w:r>
        <w:t>De l'état de frais de M e M______, conseil juridique gratuit de B______, seront retranchées 24 minutes de "préparation conférence client" , ce poste faisant doublon avec le poste étude du dossier/préparation audience et plaidoiries dont il convient d'ailleurs de considérer que 5 heures et 30 minutes étaient suffisantes en l'espèce au vu des principes applicables. Par conséquent, Me M______ sera rémunéré à hauteur de CHF 1'662.-, correspondant à 8 heures et 36 minutes au tarif de stagiaire (CHF 946.-) et 1 heure et 42 minutes au tarif de chef d'étude (CHF 340.-), plus la majoration forfaitaire de 20% (CHF 257.20), la vacation de CHF 55.- et l'équivalent de la TVA au taux de 7.7% en CHF 118.80.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