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P/4558/2010 vom 22. März 2013</w:t>
      </w:r>
    </w:p>
    <w:p>
      <w:r>
        <w:t>GE Cour de justice, 2013-03-22, FR</w:t>
      </w:r>
    </w:p>
    <w:p>
      <w:r>
        <w:rPr>
          <w:b/>
        </w:rPr>
        <w:t xml:space="preserve">Quelle: </w:t>
      </w:r>
      <w:r>
        <w:t>https://mcp.opencaselaw.ch/entscheid/ge_gerichte_P_4558_2010</w:t>
      </w:r>
    </w:p>
    <w:p>
      <w:r>
        <w:t>FR: GE_GERICHTE P/4558/2010 du 22 mars 2013</w:t>
      </w:r>
    </w:p>
    <w:p>
      <w:r>
        <w:t>IT: GE_GERICHTE P/4558/2010 del 22 marzo 2013</w:t>
      </w:r>
    </w:p>
    <w:p>
      <w:pPr>
        <w:pStyle w:val="Heading2"/>
      </w:pPr>
      <w:r>
        <w:t>Regeste</w:t>
      </w:r>
    </w:p>
    <w:p>
      <w:r>
        <w:t>INFRACTIONS CONTRE LA FAMILLE; VIOLATION D'UNE OBLIGATION D'ENTRETIEN | CP.217.1</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Les conclusions prises dans le mémoire d'appel, qui tendent à une condamnation de l'appelant à une indemnité de procédure pour la procédure de première instance, sont des conclusions nouvelles, prohibées par l'art. 399 CPP. Seules les prétentions en couverture de ses frais d'avocat pour la procédure d'appel sont recevables.</w:t>
      </w:r>
    </w:p>
    <w:p>
      <w:r>
        <w:rPr>
          <w:b/>
        </w:rPr>
        <w:t>E. 2.1</w:t>
      </w:r>
    </w:p>
    <w:p>
      <w:r>
        <w:t>D'une façon générale, il n'y a pas lieu d'administrer des preuves sur des faits non pertinents, notoires, connus de l'autorité pénale ou déjà suffisamment prouvés (art. 139 al. 2 CPP).</w:t>
      </w:r>
    </w:p>
    <w:p>
      <w:r>
        <w:rPr>
          <w:b/>
        </w:rPr>
        <w:t>E. 2.2</w:t>
      </w:r>
    </w:p>
    <w:p>
      <w:r>
        <w:t>En vertu de l'art. 389 CPP, la procédure d'appel se fonde sur les preuves administrées pendant la procédure préliminaire et la procédure de première instance (al. 1) et l'administration des preuves par le tribunal de première instance n'est répétée que si a) les dispositions en matière de preuve ont été enfreintes, b) l'administration des preuves était incomplète ou c) les pièces relatives à l'administration des preuves semblent pas fiables (al. 2), étant toutefois précisé que l'autorité d'appel peut administrer, d'office ou à la demande d'une partie, les preuves complémentaires nécessaires au traitement de l'appel (al. 3). Les réquisitions de preuves devant la juridiction d'appel doivent être formulées dans la déclaration d'appel (art. 399 al. 3 let. c CPP; M. NIGGLI / M. HEER / H. WIPRÄCHTIGER, Schweizersiche Strafprozessordnung / Schweizerische Jugendstrafprozessordnung, Basler Kommentar StPO/JStPO , Bâle 2011, n°4 ad art. 399), une dérogation à cette règle devant être admise lorsque l'appelant établit qu'il n'était pas en mesure de formuler la réquisition de preuves lors de l'établissement de la déclaration d'appel.</w:t>
      </w:r>
    </w:p>
    <w:p>
      <w:r>
        <w:rPr>
          <w:b/>
        </w:rPr>
        <w:t>E. 2.3</w:t>
      </w:r>
    </w:p>
    <w:p>
      <w:r>
        <w:t>En l'espèce, l'appelant, pourtant expressément interpellé, n'indique pas pour quel motif il souhaite pouvoir produire la pièce n° 5. Cette pièce n'est par ailleurs pas propre à prouver un fait pertinent, la production de la créance le 19 juin 2012 n'établissant pas son existence, et encore moins que le versement à feu Me Q______ était intégralement destiné à l'intimée. La partie plaignante n'explique pas pourquoi elle n'a pas produit plus tôt les pièces n°1 à 3. La pièce n° 1 n'est pas propre à prouver un fait pertinent s'agissant d'un extrait de presse mondaine, tandis que les pièces n° 2 et 3 ont trait aux conclusions irrecevables en couverture des honoraires de première instance.</w:t>
      </w:r>
    </w:p>
    <w:p>
      <w:r>
        <w:rPr>
          <w:b/>
        </w:rPr>
        <w:t>E. 2.4</w:t>
      </w:r>
    </w:p>
    <w:p>
      <w:r>
        <w:t>Les réquisitions de production de ces pièces seront dès lors rejetées et les pièces litigieuses classées dans une cote séparée, pour permettre le contrôle de la présente décision par le Tribunal fédéral, cas échéant.</w:t>
      </w:r>
    </w:p>
    <w:p>
      <w:r>
        <w:rPr>
          <w:b/>
        </w:rPr>
        <w:t>E. 3.1</w:t>
      </w:r>
    </w:p>
    <w:p>
      <w:r>
        <w:t>Le principe in dubio pro reo , qui découle de la présomption d'innocence, garantie par l'art. 6 ch. 2 CEDH et, sur plainte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3.2</w:t>
      </w:r>
    </w:p>
    <w:p>
      <w:r>
        <w:t>L'article 217 al. 1 CP punit, sur plainte, celui qui n'aura pas fourni les aliments ou les subsides qu'il doit en vertu du droit de la famille, quoi 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LP ; ATF 121 IV 272 consid. 3c p. 277). On ne peut reprocher à l'auteur d'avoir violé son obligation d'entretien que s'il avait les moyens de la remplir, ou aurait pu les avoir. Par là, on entend celui qui ne dispose pas de moyens suffisants pour s'acquitter de son obligation, mais également celui ne saisit pas les occasions de gain qui lui sont offertes et qu'il pourrait accepter (ATF 126 IV 131 consid. 3a p. 133 ; arrêt du Tribunal fédéral 6B_509/2008 du 29 août 2008 consid. 2.1). Il incombe en effet à celui qui doit assumer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Lorsque la quotité de la contribution d'entretien a été fixée dans le dispositif d'un jugement civil valable et exécutoire, le juge pénal appelé à statuer en application de l'art. 217 CP est dans la règle lié par ce montant (ATF 106 IV 36 ; arrêt du Tribunal fédéral 6B_509/2008 du 29 août 2008 consid. 2.1) ; il n'a pas à se demander s'il aurait lui-même fixé une somme inférieure ou supérieure. Une constatation judiciaire préalable n’est cependant pas nécessaire dans la mesure où l'obligation d'entretien découle directement de la loi (ATF 128 IV 86 consid. 2b p. 90). Sur le plan subjectif, l'auteur doit avoir agi de manière intentionnelle (ATF 70 IV 166 p. 169). L'intention suppose que l'auteur a connu les faits qui fondent son obligation d'entretien ou qu'il en a accepté l'éventualité, ce qui est en principe le cas lorsque l'obligation a été fixée dans un jugement ou une convocation (ATF 128 IV 86 consid. 2b p. 90).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 L'art. 217 CP n'étant pas une infraction de résultat, il importe peu que le créancier se trouve dans une situation de détresse en raison de l'absence de paiement de la pension alimentaire ou, au contraire, n'ait pas besoin de ces subsides pour vivre (arrêt du Tribunal fédéral 6P.44/2005 du 27 mai 2005 consid. 4.1).</w:t>
      </w:r>
    </w:p>
    <w:p>
      <w:r>
        <w:rPr>
          <w:b/>
        </w:rPr>
        <w:t>E. 3.3</w:t>
      </w:r>
    </w:p>
    <w:p>
      <w:r>
        <w:t>En l’occurrence, la situation est sensiblement la même que lors du prononcé des précédents arrêts de la Chambre pénale et du Tribunal fédéral, dont les considérants conservent toute leur valeur, de sorte qu’il n’y a pas lieu de revenir sur le fait que l’appelant bénéficie d’une situation qui lui permettrait de s’acquitter de son obligation d’entretien, voire qu’il ne mobilise volontairement pas toutes ses ressources pour pouvoir le faire. Il n’établit pas non plus avoir voulu éteindre sa dette envers l’intimée dès lors que les montants de CHF 60'000.- et 40'000.- qu’il a versés à son précédent conseil ne suffisaient pas à rembourser l'intégralité des pensions dues, outre qu’il est uniquement rendu vraisemblable que la première de ces sommes était destinée à l’intimée. L'appelant s'est contenté de dire qu'il était privé de tout moyen de s'acquitter du solde de l'arriéré, du fait que le solde de son héritage avait été séquestré en décembre 2008. Il lui aurait pourtant suffi de donner son accord au transfert de ce solde à l'intimée, dès lors que le séquestre avait été effectué à la demande de celle-ci. Par conséquent, il apparaît que l'appelant voulait, une fois encore, échapper au payement de la contribution d'entretien due à son ex-épouse. Au vu de ce qui précède, le jugement entrepris sera confirmé.</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abus de l'auteur et par la mesure dans laquelle celui-ci aurait pu éviter la mise en danger ou la lésion, compte tenu de sa situation personnelle et des circonstances extérieures (al. 2). Comme sous l'ancien droit, le facteur essentiel est celui de la faute.</w:t>
      </w:r>
    </w:p>
    <w:p>
      <w:r>
        <w:rPr>
          <w:b/>
        </w:rPr>
        <w:t>E. 4.2</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w:t>
      </w:r>
    </w:p>
    <w:p>
      <w:r>
        <w:rPr>
          <w:b/>
        </w:rPr>
        <w:t>E. 4.3</w:t>
      </w:r>
    </w:p>
    <w:p>
      <w:r>
        <w:t>Selon l'art 46 al. 1 CP, si, durant le délai d'épreuve, le condamné commet un crime ou un délit et qu'il y a dès lors lieu de prévoir qu'il commettra de nouvelles infractions, le juge révoque le sursis ou le sursis partiel.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 Conformément à l'art 46 al. 2 CP, la révocation d'un sursis antérieur ne peut intervenir qu'en présence d'un pronostic défavorable quant à la bonne conduite futur du condamné. Ce qui implique que la nouvelle infraction commise laisse entrevoir une réduction sensible des perspectives de succès de la mise à l'épreuve (arrêt du Tribunal fédéral 6B_296/2007 du 30 août 2007, consid. 1.2).</w:t>
      </w:r>
    </w:p>
    <w:p>
      <w:r>
        <w:rPr>
          <w:b/>
        </w:rPr>
        <w:t>E. 4.4</w:t>
      </w:r>
    </w:p>
    <w:p>
      <w:r>
        <w:t>En l'espèce, la faute de l'appelant est grave, celui-ci persistant à refuser de s’acquitter de son obligation d'entretien au mépris des décisions judiciaires tant civiles que pénales prononcées à son encontre, et faisant preuve de désinvolture et d’égoïsme. Il n’a aucune empathie pour son ex-épouse, qu’il prive ainsi des ressources auxquelles elle peut légitimement prétendre, et n’a pas fait le moindre progrès sur la voie d'une prise de conscience, fût elle à l'état d'ébauche. Dans ces circonstances, la peine pécuniaire ferme de 120 jours-amende est appropriée. Le montant du jour-amende de CHF 1'000.- l'unité est adapté au train de vie de l'appelant (art. 34 CP), qui avait d'ailleurs été condamné en 2010 à 30 jours-amende d'une même valeur.</w:t>
      </w:r>
    </w:p>
    <w:p>
      <w:r>
        <w:rPr>
          <w:b/>
        </w:rPr>
        <w:t>E. 4.5</w:t>
      </w:r>
    </w:p>
    <w:p>
      <w:r>
        <w:t>C’est également à juste titre que le premier juge a révoqué les précédents sursis, en application de l'art. 46 al. 2 CP. L’appelant a en effet démontré son intention de persister à se soustraire à ses obligations, dédaignant ce faisant l’opportunité qui lui avait été donnée d’échapper à une peine ferme en adoptant à l’avenir un comportement plus adéquat. Rien ne permet de penser qu’il reviendra à de meilleures dispositions.</w:t>
      </w:r>
    </w:p>
    <w:p>
      <w:r>
        <w:rPr>
          <w:b/>
        </w:rPr>
        <w:t>E. 5</w:t>
      </w:r>
    </w:p>
    <w:p>
      <w:r>
        <w:t>5.1 L'appelant qui succombe, supportera les frais de la procédure, comportant un émolument de CHF 1'500.- (art. 14 al. 1 let. a du règlement fixant le tarif des frais en matière pénale, du 22 décembre 2010 [RTFMP ; RS-GE E 4 10.03]).</w:t>
      </w:r>
    </w:p>
    <w:p>
      <w:r>
        <w:rPr>
          <w:b/>
        </w:rPr>
        <w:t>E. 5.2</w:t>
      </w:r>
    </w:p>
    <w:p>
      <w:r>
        <w:t>Il sera en outre condamné à rembourser à la partie plaignante ses frais de défense pour la procédure d'appel d'un montant de CHF 9'737.-, les notes d'honoraires produites paraissant adéquates au vu de la nature de la cause et de l'activité déployée (art. 433 al. 1 let. a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