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P/4555/2018 vom 4. Dezember 2018</w:t>
      </w:r>
    </w:p>
    <w:p>
      <w:r>
        <w:t>GE Cour de justice, 2018-12-04, FR</w:t>
      </w:r>
    </w:p>
    <w:p>
      <w:r>
        <w:rPr>
          <w:b/>
        </w:rPr>
        <w:t xml:space="preserve">Quelle: </w:t>
      </w:r>
      <w:r>
        <w:t>https://mcp.opencaselaw.ch/entscheid/ge_gerichte_P_4555_2018</w:t>
      </w:r>
    </w:p>
    <w:p>
      <w:r>
        <w:t>FR: GE_GERICHTE P/4555/2018 du 4 décembre 2018</w:t>
      </w:r>
    </w:p>
    <w:p>
      <w:r>
        <w:t>IT: GE_GERICHTE P/4555/2018 del 4 dicembre 2018</w:t>
      </w:r>
    </w:p>
    <w:p>
      <w:pPr>
        <w:pStyle w:val="Heading2"/>
      </w:pPr>
      <w:r>
        <w:t>Regeste</w:t>
      </w:r>
    </w:p>
    <w:p>
      <w:r>
        <w:t>COMMERCE DE STUPÉFIANTS ; DISPOSITIONS PÉNALES DE LA LETR ; EXPULSION(DROIT PÉNAL) | LStup.19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2.2</w:t>
      </w:r>
    </w:p>
    <w:p>
      <w:r>
        <w:t>L'art. 19 al. 1 let. d LStup punit d'une peine privative de liberté de trois ans au plus ou d'une peine pécuniaire celui qui, sans droit, possède, détient ou acquiert des stupéfiants ou s'en procure de toute autre manière. Selon l'art. 19a ch. 1 LStup, celui qui, sans droit, aura consommé intentionnellement des stupéfiants ou celui qui aura commis une infraction à l'art. 19 pour assurer sa propre consommation est passible de l'amende. 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p. 203). Celui qui, ne serait-ce que pour satisfaire ses propres besoins, se livre au trafic, vend ou permet à autrui, soit à des consommateurs potentiels, de se procurer de la drogue, ne peut dès lors bénéficier de l'art. 19a ch. 1 LStup (ATF 119 IV 180 consid. 2a p. 183 ; ATF 118 IV 200 consid. 3d p. 204 ; SJ 1996 p. 341 ; arrêt du Tribunal fédéral 6B_352/2014 du 22 mai 2015 consid. 4 non publié in ATF 141 IV 273 ).</w:t>
      </w:r>
    </w:p>
    <w:p>
      <w:r>
        <w:rPr>
          <w:b/>
        </w:rPr>
        <w:t>E. 2.3</w:t>
      </w:r>
    </w:p>
    <w:p>
      <w:r>
        <w:t>Comme l'a retenu le premier juge, les propos de l'appelant, dont aucun n'est étayé par des témoignages ou des pièces, sont fantaisistes et dénués de toute crédibilité, la localisation de sa prétendue famille en Espagne puis au Maroc en étant une illustration. L'appelant a été interpellé alors qu'il déambulait dans le parc D______, soit l'un des lieux biens connus du trafic des stupéfiants à Genève. Il détenait alors 37 grammes de haschich prédécoupés en petits morceaux, ce qui est une indication de ce qu'ils étaient destinés à la vente. Vu le risque d'arrestation, il avait prévu de remettre spontanément son plus petit sachet de drogue aux policiers, le second étant dissimulé dans son dos, afin de tenter de passer pour un consommateur venu acquérir de quoi assurer sa consommation personnelle. L'appelant admet avoir acquis le haschich à Genève mais indique un prix de CHF 150.-, qui ne correspond pas à celui du marché, très supérieur. La découverte de six coupures de CHF 20.- et CHF 10.- évoque fortement le produit de ventes antérieures à l'intervention de la police, comme la possession de deux téléphones portables. L'on ignore si l'appelant est consommateur de stupéfiants. Il n'a pas rendu vraisemblable l'existence de moyens d'existence licites, ses affirmations au sujet d'un revenu réalisé en France ne trouvant aucun appui dans la procédure. Enfin, le fait que l'appelant se soit déjà livré à plusieurs reprises à un trafic de stupéfiants à Genève, ce qui ressort de l'extrait de son casier judiciaire, ne plaide pas en sa faveur. Le faisceau d'indices concordants exposé ci-dessus est suffisant pour retenir que la drogue détenue était destinée à la vente. Le verdict de culpabilité prononcé par le premier juge sera par conséquent confirmé.</w:t>
      </w:r>
    </w:p>
    <w:p>
      <w:r>
        <w:rPr>
          <w:b/>
        </w:rPr>
        <w:t>E. 3</w:t>
      </w:r>
    </w:p>
    <w:p>
      <w:r>
        <w:t>3.1. À teneur de l'art. 115 al. 1 LEtr, sera puni d'une peine privative de liberté d'un an au plus ou d'une peine pécuniaire, quiconque contrevient aux dispositions sur l'entrée en Suisse prévues à l'art. 5 LEtr (let. a), y séjourne illégalement (let. b), exerce une activité lucrative sans autorisation (let. c) ou entre en Suisse ou quitte la Suisse sans passer par un poste frontière autorisé (let. d). La peine est l'amende si l'auteur agit par négligence (al. 3).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Selon le texte légal, l'infraction à l'art. 115 al. 1 let. a LEtr est réalisée si l'une des prescriptions, cumulatives, sur l'entrée en Suisse, au sens de l'art. 5 LEtr, est violée.</w:t>
      </w:r>
    </w:p>
    <w:p>
      <w:r>
        <w:rPr>
          <w:b/>
        </w:rPr>
        <w:t>E. 3.2</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défaut (arrêt du Tribunal fédéral 6B_465/2015 du 8 février 2016 conid. 4.1).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arrêts du Tribunal fédéral 6B_220/2015 du 10 février 2016 consid. 3.4.1 et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w:t>
      </w:r>
    </w:p>
    <w:p>
      <w:r>
        <w:rPr>
          <w:b/>
        </w:rPr>
        <w:t>E. 3.3</w:t>
      </w:r>
    </w:p>
    <w:p>
      <w:r>
        <w:t>L'appelant reconnait être venu à Genève sans être au bénéfice des autorisations nécessaires, démuni de papiers d'identité et de moyens d'existence et alors qu'il faisait l'objet d'une interdiction d'entrée en Suisse valable de 2014 à 2019, comportement constitutif d'entrée illégale au sens de l'art. 115 al. 1 let. a LEtr. Cette qualification juridique n'est pas contestée, seule l'absence d'intention délictueuse étant plaidée. L'appelant ne conteste pas que cette décision lui avait été dûment notifiée. Il en connaissait donc l'échéance, de sorte qu'aucune erreur de fait ne peut entrer ici en considération. Si l'appelant avait eu un doute à ce sujet, il lui incombait de se renseigner auprès de l'autorité, étant rappelé qu'il avait déjà été condamné à cinq reprises du même chef d'accusation. L'infraction a ainsi été commise intentionnellement. Le jugement attaqué sera aussi confirmé sur ce point.</w:t>
      </w:r>
    </w:p>
    <w:p>
      <w:r>
        <w:rPr>
          <w:b/>
        </w:rPr>
        <w:t>E. 4</w:t>
      </w:r>
    </w:p>
    <w:p>
      <w:r>
        <w:t>4.1.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En effet,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 Le Code pénal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 L. MOREILLON / C. PIGUET / S. BERGER / M. MAZOU / V. RODIGARI [éds], op. cit ., Rem. prél. ad art. 34 à 41 CP, n. 5 et 6). À l'aune de l'art. 2 CP, cette réforme du droit des sanctions est en règle générale moins favorable à la personne condamnée (M. DUPUIS / L. MOREILLON / C. PIGUET / S. BERGER / M. MAZOU / V. RODIGARI [éds], op. cit ., Rem. prél. ad art. 34 à 41 CP,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 En l'espèce, l'ancien droit demeure applicable, le nouveau n'étant pas plus favorable à l'appelant.</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w:t>
      </w:r>
    </w:p>
    <w:p>
      <w:r>
        <w:rPr>
          <w:b/>
        </w:rPr>
        <w:t>E. 4.3</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 cf . aussi art. 95 al. 3 à 5 CP). La nouvelle infraction doit revêtir une certaine gravité, à savoir être passible d'une peine privative de liberté ou d'une peine pécuniaire ( cf . art. 10 CP). En revanche, la perpétration d'une seule contravention ne permet pas la réintégration, à moins qu'elle ne corresponde simultanément à la violation d'une règle de conduite (art. 95 al. 5 CP ; cf .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 En particulier, le Tribunal fédéral a rejeté le grief d'un recourant qui estimait que la nouvelle infraction qu'il avait commise dans le délai d'épreuve de sa libération conditionnelle, à savoir un séjour illégal, n'était pas d'une gravité suffisante pour justifier sa réintégration, dans la mesure où il s'agissait d'un délit (art. 10 al. 3 CP), passible d'une peine privative de liberté d'un an au plus ou d'une peine pécuniaire (arrêt du Tribunal fédéral 6B_715/2015 du 21 mars 2016 consid. 2.5 ; cf . AARP/261/2015 du 5 juin 2015). La révocation de la libération conditionnelle doit être compatible avec les principes liés au maximum légal de la peine prévue à l'art. 115 al. 1 LEtr. Si la durée de la détention subie atteint ou dépasse un an, il devra être renoncé à la révocation (ATF 135 IV 6 consid. 4.2 p. 11 ; arrêt du Tribunal fédéral 6B_715/2015 du 21 mars 2016 consid. 2.6.2 ; AARP/200/2016 du 10 mai 2016 consid. 2.2).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86 al. 6 CP).</w:t>
      </w:r>
    </w:p>
    <w:p>
      <w:r>
        <w:rPr>
          <w:b/>
        </w:rPr>
        <w:t>E. 4.4</w:t>
      </w:r>
    </w:p>
    <w:p>
      <w:r>
        <w:t>L'appelant n'a pas contesté la nature ni la quotité de la peine prononcée par le Tribunal de police. Sa faute n'est pas négligeable. Il persiste à venir à Genève malgré l'interdiction d'entrée dont il fait l'objet, afin de se livrer à un trafic de stupéfiants. Il y a concours d'infractions au sens de l'art. 49 al. 1 CP, ce qui justifie une augmentation de la peine de l'infraction la plus grave, en l'occurrence le délit à l'art. 19 al. 1 LStup. La collaboration de l'appelant à l'enquête a été mauvaise, ses déclarations étant fantaisistes. Ses nombreux antécédents judiciaires spécifiques et sa fuite du Tribunal de police témoignent d'une absence complète de prise de conscience du caractère répréhensible de ses actes et du mépris des décisions précédentes de l'autorité qui ne l'ont pas dissuadé de récidiver. Même précaire, sa situation personnelle ne justifie pas son comportement. Il prétend vivre à F______ mais n'a donné aucun élément permettant de rendre vraisemblable son allégation. Au vu de ses antécédents, de sa situation administrative et de son impécuniosité, une peine pécuniaire et un travail d'intérêt général n'entrent pas en considération, de sorte qu'une peine privative de liberté ferme devait être prononcée, le pronostic d'avenir étant concrètement défavorable. La récidive commise dans le délai d'épreuve fixé lors de l'octroi de la seconde libération conditionnelle justifie sa révocation et la fixation d'une peine d'ensemble (art. 86 al. 1 et 6 CP). Celle de 120 jours prononcée par le premier juge consacre une application correcte des critères de l'art. 47 CP et sera confirmée.</w:t>
      </w:r>
    </w:p>
    <w:p>
      <w:r>
        <w:rPr>
          <w:b/>
        </w:rPr>
        <w:t>E. 5</w:t>
      </w:r>
    </w:p>
    <w:p>
      <w:r>
        <w:t>5.1.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 CP (ATF 123 IV 107 consid. 1 ; arrêts du Tribunal fédéral 6B_607/2018 du 10 octobre 2018 consid. 1.1 ; 6B_770/2018 du 24 septembre 2018 consid. 1.1) - ne contredit pas l'interdiction de la double peine qui découle notamment de l'art. 6 CEDH ( AARP/202/2017 du 16 juin 2017 consid. 2.5).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w:t>
      </w:r>
    </w:p>
    <w:p>
      <w:r>
        <w:rPr>
          <w:b/>
        </w:rPr>
        <w:t>E. 5.2</w:t>
      </w:r>
    </w:p>
    <w:p>
      <w:r>
        <w:t>Vu les deux délits commis par l'appelant, une expulsion peut être envisagée. L'appelant, ressortissant marocain sans papiers, prétend vivre en France voisine. Il admet n'avoir aucune attache en Suisse. Son parcours dans ce pays est celui d'un délinquant qu'aucune condamnation n'a dissuadé à récidiver. L'intérêt public à le renvoyer dans son pays d'origine est donc important, même si la peine prononcée par le Tribunal de police n'est que de 120 jours. L'appelant ne prétend pas avoir le moindre intérêt privé à rester en Suisse et a exprimé son souhait de retourner en France. Une expulsion de trois ans est donc justifiée et respecte le principe de proportionnalité. Elle sera par conséquent confirmée. 6. 6.1.1.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Ces principes s'appliquent, en particulier, aussi aux supports de données numériques ( cf . arrêts du Tribunal fédéral 6B_35/2017 du 26 février 2018 consid. 9.1 ; 6B_279/2011 du 20 juin 2011 consid. 4.1 ; 6B_748/2008 du 16 février 2009 consid. 4.5.3 et 4.5.4). 6.1.2.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présomption d'innocence, garantie par les art. 10 CPP, 32 al. 1 Cst., 14 par. 2 Pacte ONU II et 6 par. 2 CEDH, n'est pas directement applicable à la procédure de confiscation. Le juge de la confiscation recherche uniquement si les biens ont un lien avec une infraction, mais ne s'interroge pas sur la culpabilité de son auteur. Ainsi, lorsque la mesure de confiscation est menée indépendamment de la procédure pénale proprement dite, ou lorsqu'elle frappe une personne qui n'est pas accusée, la présomption d'innocence n'est pas opposable (ATF 132 II 178 consid. 4.1 p. 184 s. et les références ; ATF 117 IV 233 consid. 3 p. 237 s.). 6.2. Au vu des faits retenus, la confiscation de l'argent et des téléphones saisis, en rapport avec les infractions commises, sera confirmée. 7. L'appelant, qui succombe, supportera les frais de la procédure envers l'État (art. 428 CPP). 8. 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8.2.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8.3. En l'occurrence, l'état de frais déposé par M e B______ est conforme aux principes régissant la taxation du défenseur d'office, de sorte qu'une indemnité de CHF 640.- lui sera allouée, forfait à 20% pour activités diverses et TVA à 7.7% compris. * * * * *</w:t>
      </w:r>
    </w:p>
    <w:p>
      <w:r>
        <w:rPr>
          <w:b/>
        </w:rPr>
        <w:t>E. 10</w:t>
      </w:r>
    </w:p>
    <w:p>
      <w:r>
        <w:t>octobre 2018 consid. 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