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P/4539/2017 vom 20. Januar 2020</w:t>
      </w:r>
    </w:p>
    <w:p>
      <w:r>
        <w:t>GE Cour de justice, 2020-01-20, FR</w:t>
      </w:r>
    </w:p>
    <w:p>
      <w:r>
        <w:rPr>
          <w:b/>
        </w:rPr>
        <w:t xml:space="preserve">Quelle: </w:t>
      </w:r>
      <w:r>
        <w:t>https://mcp.opencaselaw.ch/entscheid/ge_gerichte_P_4539_2017</w:t>
      </w:r>
    </w:p>
    <w:p>
      <w:r>
        <w:t>FR: GE_GERICHTE P/4539/2017 du 20 janvier 2020</w:t>
      </w:r>
    </w:p>
    <w:p>
      <w:r>
        <w:t>IT: GE_GERICHTE P/4539/2017 del 20 gennaio 2020</w:t>
      </w:r>
    </w:p>
    <w:p>
      <w:pPr>
        <w:pStyle w:val="Heading2"/>
      </w:pPr>
      <w:r>
        <w:t>Regeste</w:t>
      </w:r>
    </w:p>
    <w:p>
      <w:r>
        <w:t>IN DUBIO PRO REO;CONTRAVENTION;CIRCULATION ROUTIÈRE(DROIT DE LA CIRCULATION ROUTIÈRE);PRINCIPE DE L'ACCUSATION;ACTE D'ACCUSATION;EXPERTISE PRÉSENTÉE PAR UNE PARTIE;SIGNALISATION ROUTIÈRE;FIXATION DE LA PEINE;AMENDE | LCR.90.al1; LCR.26.al1; LCR.27.al1; OSR.68; LOJ.129.al4; CPP.9; CPP.325.al1; CP.47; CP.106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arrêts du Tribunal fédéral 6B_634/2018 du 22 août 2018 consid. 2.1 ; 6B_804/2017 du 23 mai 2018 consid. 2.2.3.3 destiné à la publication ; 6B_1306/2017 du 17 mai 2018 consid. 2.1.1). 2.1.2.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2.2.1. L'art. 9 CPP consacre la maxime d'accusation, laquelle découle également des art. 29 al. 2 Cst.,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2.2.2.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 L'acte d'accusation doit permettre, à sa lecture, de comprendre les faits et les infractions qui sont reprochés au prévenu, et à celui-ci d'exercer efficacement ses droits à la défense. L'acte d'accusation n'est pas une fin en soi, mais un moyen de circonscrire l'objet du procès pénal et de garantir l'information de l'accusé, afin que celui-ci ait la possibilité de se défendre. L'acte d'accusation doit ainsi décrire précisément les infractions reprochées, tant sur le plan objectif que subjectif. Il faut se garder de tout formalisme excessif dans les exigences formulées à l'égard de l'acte d'accusation. Un acte d'accusation n'est pas un jugement (arrêt du Tribunal fédéral 6B_799/2014 du 11 décembre 2014 in Forumpoenale 5/2015 p. 262).</w:t>
      </w:r>
    </w:p>
    <w:p>
      <w:r>
        <w:rPr>
          <w:b/>
        </w:rPr>
        <w:t>E. 2.3</w:t>
      </w:r>
    </w:p>
    <w:p>
      <w:r>
        <w:t>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 141 IV 369 consid. 6.2 p. 373 s. ; 132 III 83 consid. 3.4 p. 87 s. ; arrêts du Tribunal fédéral 6B_480/2017 du 29 décembre 2017 consid. 1.2 ; 6B_259/2016 , 266/2016 du 21 mars 2017 consid. 5.2).</w:t>
      </w:r>
    </w:p>
    <w:p>
      <w:r>
        <w:rPr>
          <w:b/>
        </w:rPr>
        <w:t>E. 2.4</w:t>
      </w:r>
    </w:p>
    <w:p>
      <w:r>
        <w:t>Conformément à l'art. 90 al. 1 LCR, celui qui viole les règles de la circulation prévues par ladite loi ou par les dispositions d'exécution émanant du Conseil fédéral est puni de l'amende. Cette disposition générale et abstraite n'a pas de portée propre. Elle doit être complétée par l'indication de la ou des règles concrètes de circulation qui ont été violées (ATF 100 IV 71 consid. 1).</w:t>
      </w:r>
    </w:p>
    <w:p>
      <w:r>
        <w:rPr>
          <w:b/>
        </w:rPr>
        <w:t>E. 2.4.1</w:t>
      </w:r>
    </w:p>
    <w:p>
      <w:r>
        <w:t>Selon l'art. 26 al. 1 LCR, chacun doit se comporter, dans la circulation, de manière à ne pas gêner ni mettre en danger ceux qui utilisent la route conformément aux règles établies.</w:t>
      </w:r>
    </w:p>
    <w:p>
      <w:r>
        <w:rPr>
          <w:b/>
        </w:rPr>
        <w:t>E. 2.4.2</w:t>
      </w:r>
    </w:p>
    <w:p>
      <w:r>
        <w:t>En application de l'art. 27 al. 1 LCR, chacun se conformera aux signaux et aux marques ainsi qu'aux ordres de la police. Les signaux et les marques priment les règles générales ; les ordres de la police ont le pas sur les règles générales, les signaux et les marques.</w:t>
      </w:r>
    </w:p>
    <w:p>
      <w:r>
        <w:rPr>
          <w:b/>
        </w:rPr>
        <w:t>E. 2.4.3</w:t>
      </w:r>
    </w:p>
    <w:p>
      <w:r>
        <w:t>A teneur de l'art. 68 al. 1 bis 1 ère phrase OSR, le feu rouge signifie " Arrêt ". Selon l'art. 68 al. 4 let. a OSR, le feu jaune signifie, s'il succède au feu vert, " arrêt pour les véhicules qui peuvent encore s'arrêter avant l'intersection ". Cette obligation vaut sans restriction. Il s'agit d'une prescription essentielle pour la sécurité du trafic. Lorsque le signal jaune apparaît, seul celui qui ne peut plus s'arrêter avant l'intersection ou ne peut le faire qu'en freinant brusquement est autorisé à continuer sa route (ATF 118 IV 84 consid. 2b = JdT 1992 I 759). Celui qui, en roulant à 55 km/h, ne s'arrête pas sur une distance de 55 mètres lorsque le feu passe du vert au jaune, alors qu'une longueur de 26,4 mètres lui aurait suffi, viole intentionnellement une règle fondamentale de la circulation (ATF 118 IV 84 consid. 2b = JdT 1992 I 759).</w:t>
      </w:r>
    </w:p>
    <w:p>
      <w:r>
        <w:rPr>
          <w:b/>
        </w:rPr>
        <w:t>E. 2.5</w:t>
      </w:r>
    </w:p>
    <w:p>
      <w:r>
        <w:t>En l'espèce, la Cour considère, à l'instar du premier juge, qu'il n'est pas possible d'établir avec certitude si le prévenu a franchi la ligne d'arrêt à la phase de signalisation jaune ou rouge, les déclarations de B______ étant à prendre avec retenue et l'analyse du DETA, établies sur la base d'images de mauvaise qualité, manquant de nuances compte tenu du mince écart retenu entre le début de la phase rouge et le franchissement de la ligne d'arrêt. Partant, il y a lieu de retenir l'état de fait le plus favorable au prévenu, soit qu'il a franchi la ligne d'arrêt à la phase jaune de son feu. La question qui se pose est donc de savoir si A______ disposait de la distance suffisante pour s'immobiliser avant la ligne d'arrêt. A cet égard, la CPAR est d'avis que l'acte d'accusation établit de manière suffisamment précise le comportement reproché au prévenu, à savoir la violation de l'art. 68 al. 4 let. a OSR, lequel y est d'ailleurs expressément mentionné. En outre, au paragraphe 19, page 4 de la partie " en fait " dudit acte, il est également précisé que le MP retient que A______ disposait d'une distance suffisante pour s'arrêter sans exécuter de freinage d'urgence lorsqu'il a vu que la signalisation lumineuse était dans sa phase jaune, ce qui est encore repris dans la partie " en droit ". Enfin, le précité a été entendu sur ce point dès sa première audition devant la police routière, de sorte qu'il savait que cela lui était reproché. Il a par la suite été entendu par l'IGS et le MP, lors d'auditions au cours desquelles il a pu s'exprimer à plusieurs reprises sur les faits reprochés, si bien que le prévenu a pu non seulement s'expliquer, mais également faire valoir ses moyens de défense, en particulier durant l'audience de jugement. En l'occurrence, A______ a déclaré avoir vu son feu de signalisation passer de la phase verte à la phase jaune, alors qu'il roulait à 50 km/h sur une route dégagée. Il avait ensuite décéléré. Au même instant, selon l'IGS et les images extraites de la vidéosurveillance, il se trouvait à 35 mètres au minimum de la ligne d'arrêt. Par ailleurs, la route était sèche et la visibilité normale. Par conséquent, l'intimé, que rien n'empêchait de freiner, disposait d'une distance suffisante pour s'arrêter à la ligne d'arrêt lorsque le feu destiné aux véhicules est passé au jaune, ceci sans exécuter de freinage d'urgence, étant précisé qu'au vu de son âge, de sa profession, de son état de santé général et de son état au moment des faits (il n'avait pas consommé d'alcool), son temps de réaction ne devait pas excéder la moyenne. A______ sera ainsi reconnu coupable de violation simple d'une règle de la circulation routière (art. 90 al. 1 LCR cum art. 26 al. 1 et 27 al. 1 LCR et 68 al. 4 let. a OSR). L'appel sera partant admis et le jugement entrepris annulé.</w:t>
      </w:r>
    </w:p>
    <w:p>
      <w:r>
        <w:rPr>
          <w:b/>
        </w:rPr>
        <w:t>E. 3</w:t>
      </w:r>
    </w:p>
    <w:p>
      <w:r>
        <w:t>3.1.1. Aux termes de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3.2</w:t>
      </w:r>
    </w:p>
    <w:p>
      <w:r>
        <w:t>En l'espèce, la faute du prévenu, si elle est relativement légère, a toutefois eu des conséquences non négligeables, dès lors qu'elle a entraîné la chute de B______. Les mobiles du prévenu relèvent de la pure désinvolture vis-à-vis de la sécurité d'autrui et des règles instaurées par la loi fédérale sur la circulation routière. Aucune circonstance atténuante au sens de l'art. 48 CP n'est réalisée ni d'ailleurs plaidée. La collaboration du prévenu à l'instruction a été relativement médiocre, dès lors qu'il a persisté à contester toute responsabilité dans la survenance de cet accident, rejetant la faute sur B______, ce qui atteste qu'il n'a manifestement pas pris conscience de la gravité de ses actes. Il a un antécédent spécifique. Il convient dès lors de le condamner à une amende de CHF 950.- pour tenir compte de la gravité de sa faute et de sa situation personnelle. La peine privative de liberté de substitution sera arrêtée à 9 jours, par référence à un taux de conversion de CHF 100.-/jour usuellement appliqué. Par conséquent, l'appel du MP sera intégralement admis et le jugement entrepris réformé dans cette mesure.</w:t>
      </w:r>
    </w:p>
    <w:p>
      <w:r>
        <w:rPr>
          <w:b/>
        </w:rPr>
        <w:t>E. 4</w:t>
      </w:r>
    </w:p>
    <w:p>
      <w:r>
        <w:t>L'intimé, qui succombe, supportera les frais de la procédure d'appel, qui comprennent un émolument de jugement de CHF 1'500.- (art. 428 al. 1 CPP et art. 14 al. 1 let. e du Règlement fixant le tarif des frais en matière pénale du 22 décembre 2010 [RTFMP ; RS/GE E 4 10.03]). Il incombe en outre à la CPAR de se prononcer sur ceux de première instance (art. 428 al. 3 CPP), lesquels représentent CHF 966.-, émolument de jugement de CHF 300.- compris, et doivent être mis intégralement à la charge du prévenu.</w:t>
      </w:r>
    </w:p>
    <w:p>
      <w:r>
        <w:rPr>
          <w:b/>
        </w:rPr>
        <w:t>E. 5</w:t>
      </w:r>
    </w:p>
    <w:p>
      <w:r>
        <w:t>5.1. L'art. 429 al. 1 let. a CPP prévoit que si le prévenu est acquitté totalement ou en partie ou s'il bénéficie d'une ordonnance de classement, il a droit à une indemnité pour les dépenses occasionnées par l'exercice raisonnable de ses droits de procédure. La question de l'indemnisation du prévenu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w:t>
      </w:r>
    </w:p>
    <w:p>
      <w:r>
        <w:rPr>
          <w:b/>
        </w:rPr>
        <w:t>E. 5.2</w:t>
      </w:r>
    </w:p>
    <w:p>
      <w:r>
        <w:t>En l'occurrence, l'intimé, qui succombe, n'a droit à aucune indemnité pour les dépenses occasionnées par l'exercice de ses droits de procédure, que ce soit pour la procédure d'appel ou celle de première instance. * * * * * PAR CES MOTIFS, L E PRÉSIDENT DE LA CHAMBRE PÉNALE D'APPEL ET DE RÉVISION : Reçoit l'appel formé par le Ministère public contre le jugement JTDP/1000/2019 rendu le 17 juillet 2019 par le Tribunal de police dans la procédure P/4539/2017. L'admet. Annule ce jugement. Et statuant à nouveau : Déclare A______ coupable de violation simple des règles de la circulation routière (art. 90 al. 1 LCR cum art. 26 al. 1 et 27 al. 1 LCR et 68 al. 4 let. a OSR). Condamne A______ à une amende de CHF 950.- (art. 106 al. 1 CP). Prononce une peine privative de liberté de substitution de 9 jours (art. 106 al. 2 et 3 CP). Dit que la peine privative de liberté de substitution sera mise à exécution si, de manière fautive, l'amende n'est pas payée. Condamne A______ aux frais de la procédure de première instance, qui s'élèvent à CHF 966.-, y compris un émolument de jugement de CHF 300.- (art. 426 al. 1 CPP). Condamne A______ aux frais de la procédure d'appel en CHF 1'735.-, qui comprennent un émolument de CHF 1'500.-. Déboute A______ de ses conclusions en indemnisation. Notifie le présent arrêt aux parties. Le communique, pour information, au Tribunal de police, à la Direction générale des véhicules et au Service des contraventions. La greffière : Florence PEIRY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P/4539/2017 ÉTAT DE FRAIS AARP/13/2020 COUR DE JUSTICE Selon les art. 4 et 14 du règlement du 22 décembre 2010 fixant le tarif des frais et dépens en matière pénale (E 4 10.03). Total des frais de procédure du Tribunal de police : CHF 966.00 Bordereau de frais de la Chambre pénale d'appel et de révision Délivrance de copies et photocopies (let. a, b et c) CHF 0.00 Mandats de comparution, avis d'audience et divers (let. i) CHF 160.00 Procès-verbal (let. f) CHF 0.00 État de frais CHF 75.00 Émolument de décision CHF 1'500.00 Total des frais de la procédure d'appel : (Pour calculer : cliquer avec bouton de droite sur le montant total puis sur « mettre à jour les champs » ou cliquer sur le montant total et sur la touche F9) CHF 1'735.00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2'701.00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