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P/4535/2023 vom 23. Oktober 2023</w:t>
      </w:r>
    </w:p>
    <w:p>
      <w:r>
        <w:t>GE Cour de justice, 2023-10-23, FR</w:t>
      </w:r>
    </w:p>
    <w:p>
      <w:r>
        <w:rPr>
          <w:b/>
        </w:rPr>
        <w:t xml:space="preserve">Quelle: </w:t>
      </w:r>
      <w:r>
        <w:t>https://mcp.opencaselaw.ch/entscheid/ge_gerichte_P_4535_2023</w:t>
      </w:r>
    </w:p>
    <w:p>
      <w:r>
        <w:t>FR: GE_GERICHTE P/4535/2023 du 23 octobre 2023</w:t>
      </w:r>
    </w:p>
    <w:p>
      <w:r>
        <w:t>IT: GE_GERICHTE P/4535/2023 del 23 ottobre 2023</w:t>
      </w:r>
    </w:p>
    <w:p>
      <w:pPr>
        <w:pStyle w:val="Heading2"/>
      </w:pPr>
      <w:r>
        <w:t>Regeste</w:t>
      </w:r>
    </w:p>
    <w:p>
      <w:r>
        <w:t>CPP.310; CP.251; CPP.382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CPP).![endif]&gt;![if&gt;</w:t>
      </w:r>
    </w:p>
    <w:p>
      <w:r>
        <w:rPr>
          <w:b/>
        </w:rPr>
        <w:t>E. 1.2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1.3</w:t>
      </w:r>
    </w:p>
    <w:p>
      <w:r>
        <w:t>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119 Ia 342 consid. 2b). Tel est le cas lorsque le faux est l'un des éléments d'une infraction contre le patrimoine, la personne dont le patrimoine est menacé ou atteint ayant alors la qualité de lésée (ATF 119 Ia 342 consid. 2b; arrêts 6B_655/2019 du 12 juillet 2019 consid. 4.3.3; 6B_1274/2018 du 22 janvier 2019 consid. 2.3.1).</w:t>
      </w:r>
    </w:p>
    <w:p>
      <w:r>
        <w:rPr>
          <w:b/>
        </w:rPr>
        <w:t>E. 1.4</w:t>
      </w:r>
    </w:p>
    <w:p>
      <w:r>
        <w:t>En l'espèce, le recourant reproche à la mise en cause d'avoir signé un procès-verbal relatif à une assemblée générale extraordinaire n'ayant prétendument jamais eu lieu. Il n'a toutefois jamais allégué – ni, a fortiori , démontré – en quoi ce procès-verbal serait susceptible de lui porter préjudice. Les objets, par hypothèse, discutés à teneur du document litigieux ne le concerneraient d'ailleurs aucunement. Quoiqu'il en soit, ladite assemblée n'a jamais eu lieu. Le procès-verbal dénoncé, en tant qu'il ne constitue qu'un projet, n'a donc aucune valeur probante. Le serait-il que le recourant n'apparait aucunement être lésé par l'éventuelle infraction. Partant, il n'a pas d'intérêt juridiquement protégé pour agir au sens de l'art. 382 al. 1 CPP. Son recours est donc irrecevable.</w:t>
      </w:r>
    </w:p>
    <w:p>
      <w:r>
        <w:rPr>
          <w:b/>
        </w:rPr>
        <w:t>E. 2</w:t>
      </w:r>
    </w:p>
    <w:p>
      <w:r>
        <w:t>Au vu de ce qui précède, il n'y a pas lieu d'examiner le grief de violation du droit d'être entendu (cf. arrêt du Tribunal fédéral 1B_46/2023 du 7 mars 2023 consid. 2.3. in fine ). ![endif]&gt;![if&gt;</w:t>
      </w:r>
    </w:p>
    <w:p>
      <w:r>
        <w:rPr>
          <w:b/>
        </w:rPr>
        <w:t>E. 3</w:t>
      </w:r>
    </w:p>
    <w:p>
      <w:r>
        <w:t>Le recourant, qui succombe, supportera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