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P/4533/2024 vom 12. März 2024</w:t>
      </w:r>
    </w:p>
    <w:p>
      <w:r>
        <w:t>GE Cour de justice, 2024-03-12, FR</w:t>
      </w:r>
    </w:p>
    <w:p>
      <w:r>
        <w:rPr>
          <w:b/>
        </w:rPr>
        <w:t xml:space="preserve">Quelle: </w:t>
      </w:r>
      <w:r>
        <w:t>https://mcp.opencaselaw.ch/entscheid/ge_gerichte_P_4533_2024</w:t>
      </w:r>
    </w:p>
    <w:p>
      <w:r>
        <w:t>FR: GE_GERICHTE P/4533/2024 du 12 mars 2024</w:t>
      </w:r>
    </w:p>
    <w:p>
      <w:r>
        <w:t>IT: GE_GERICHTE P/4533/2024 del 12 marzo 2024</w:t>
      </w:r>
    </w:p>
    <w:p>
      <w:pPr>
        <w:pStyle w:val="Heading2"/>
      </w:pPr>
      <w:r>
        <w:t>Regeste</w:t>
      </w:r>
    </w:p>
    <w:p>
      <w:r>
        <w:t>DOMMAGES À LA PROPRIÉTÉ(DROIT PÉNAL);PREUVE;DOMMAGE | CPP.144</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w:t>
      </w:r>
    </w:p>
    <w:p>
      <w:r>
        <w:rPr>
          <w:b/>
        </w:rPr>
        <w:t>E. 1.2</w:t>
      </w:r>
    </w:p>
    <w:p>
      <w:r>
        <w:t>La recourante ne dispose toutefois pas d'un intérêt juridiquement protégé, au sens de l'art. 382 al. 1 CPP, à se plaindre du refus d'entrer en matière sur les infractions aux art. 129 CP et 90 al. 1 LCR dénoncées. L'existence d'un intérêt juridiquement protégé, au sens de l'art. 382 CPP, n'est en effet admise que lorsque le recourant est directement et immédiatement touché dans ses droits par l’ordonnance attaquée. La violation d'un intérêt relevant d'un autre sujet de droit est insuffisante pour créer la qualité pour recourir (arrêt du Tribunal fédéral 6B_1004/2022 du 23 mai 2023 consid. 3.1.1). Or, l’art. 129 CP protège la vie (A. MACALUSO/ L. MOREILLON/ N. QUELOZ (éds.), Commentaire romand, Code pénal II, Bâle 2017, n. 4 ad. art. 129). En l'occurrence, la recourante se plaint de la mise en danger de la vie de tiers qui auraient pu se trouver dans le parking. Dès lors que seuls ces derniers sont titulaires du bien juridique protégé par l'infraction précitée, elle ne dispose pas de la qualité juridique pour se plaindre d'une non-entrée en matière sur sa plainte sur cet aspect. Le même raisonnement s'applique à l'infraction visée à l'art. 90 LCR, cette disposition n'ayant pas vocation à protéger directement les droits de la recourante (ATF 138 IV 258 consid. 2-4 p. 262-271). Au demeurant, la procédure, sous l'angle de la disposition précitée, a été disjointe de la présente et renvoyée à l'autorité compétente. Il ne sera dès lors pas entré en matière sur ces griefs, le recours étant recevable pour le surplus.</w:t>
      </w:r>
    </w:p>
    <w:p>
      <w:r>
        <w:rPr>
          <w:b/>
        </w:rPr>
        <w:t>E. 2</w:t>
      </w:r>
    </w:p>
    <w:p>
      <w:r>
        <w:t>La recourante reproche au Ministère public d'avoir constaté les faits de manière erronée.</w:t>
      </w:r>
    </w:p>
    <w:p>
      <w:r>
        <w:rPr>
          <w:b/>
        </w:rPr>
        <w:t>E. 2.1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 2ème éd., Bâle 2019, n. 17 ad art. 393 ; ACPR/609/2015 du 11 novembre 2015 consid. 3.1.1).</w:t>
      </w:r>
    </w:p>
    <w:p>
      <w:r>
        <w:rPr>
          <w:b/>
        </w:rPr>
        <w:t>E. 2.2</w:t>
      </w:r>
    </w:p>
    <w:p>
      <w:r>
        <w:t>En l'occurrence, en tant que le Ministère public a retenu que le parking n'aurait pas été durablement endommagé, il n'a pas constaté les faits de manière erronée, mais a procédé à l'appréciation – juridique – des faits. Ce grief est donc infondé.</w:t>
      </w:r>
    </w:p>
    <w:p>
      <w:r>
        <w:rPr>
          <w:b/>
        </w:rPr>
        <w:t>E. 3</w:t>
      </w:r>
    </w:p>
    <w:p>
      <w:r>
        <w:t>La recourante reproche également au Ministère public d'avoir appliqué le droit de manière arbitraire, en tant qu'il a refusé d'entrer en matière sur sa plainte pour dommages à la propriété.</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w:t>
      </w:r>
    </w:p>
    <w:p>
      <w:r>
        <w:rPr>
          <w:b/>
        </w:rPr>
        <w:t>E. 3.2</w:t>
      </w:r>
    </w:p>
    <w:p>
      <w:r>
        <w:t>À teneur de l'art. 144 CP, est puni quiconque, sans droit,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(arrêt du Tribunal fédéral 6B_978/2014 du 23 juin 2015 consid. 3.3.1 non publié in ATF 141 IV 305 ). L'auteur se rend coupable de dommages à la propriété dès qu'il cause un changement de l'état de la chose qui n'est pas immédiatement réversible sans frais ni effort et qui porte atteinte à un intérêt légitime (ATF 128 IV 250 consid. 2 ; arrêt du Tribunal fédéral 6B_1054/2021 du 11 mars 2022 consid. 2.1.). Ainsi, le fait de peindre ou de sprayer (sans autorisation) sur un mur ou de barbouiller de sang des murs, des tables et des bancs sur une grande surface constitue déjà l'élément constitutif de l'infraction précitée (ATF 120 IV 319 consid. 2a; arrêt du Tribunal fédéral 6B_998/2019 du 20 novembre 2020 consid. 3.1 et les références citées).</w:t>
      </w:r>
    </w:p>
    <w:p>
      <w:r>
        <w:rPr>
          <w:b/>
        </w:rPr>
        <w:t>E. 3.3</w:t>
      </w:r>
    </w:p>
    <w:p>
      <w:r>
        <w:t>En l'espèce, la recourante allègue que le comportement du mis en cause, au volant de sa voiture, avait causé un changement dans l'état du revêtement du sol du parking, lequel n'avait pu être remis en état qu'au moyen d'un nettoyage spécifique, réalisé par une entreprise spécialisée. Cela étant, le devis qu'elle produit n'est pas propre à établir ce fait, ni qu'elle aurait dû supporter le coût d'un nettoyage à hauteur de CHF 1'189.10, faute de facture pour la réalisation effective d'un tel travail. Le devis rend uniquement vraisemblable que le nettoyage du sol aurait pu coûter cette somme à la recourante si elle avait fait appel à une société spécialisée, ce qu'elle n'établit pas, alors que le fardeau de la preuve, sur ce point, lui revenait. Il appartenait en effet à la plaignante, sous l'angle de l'art. 144 CP, d'établir que l'enlèvement des traces de pneus laissées par le véhicule du mis en cause n'avait pas pu être réalisé lors du nettoyage ordinaire du parking, mais avait engendré " frais [et] effort ", au sens de la jurisprudence sus-rappelée. Or, trois mois après l'événement, la recourante aurait été à même de prouver, à l'appui de son recours, le dommage allégué, voire encore en juin 2024, en réplique aux observations du Ministère public. C'est donc à bon droit que l'ordonnance querellée a retenu que les conditions de la réalisation de l'infraction visée par l'art. 144 CP n'étaient pas réunies, le remboursement des frais allégués pouvant, le cas échéant, être réclamé par la voie civile.</w:t>
      </w:r>
    </w:p>
    <w:p>
      <w:r>
        <w:rPr>
          <w:b/>
        </w:rPr>
        <w:t>E. 4</w:t>
      </w:r>
    </w:p>
    <w:p>
      <w:r>
        <w:t>Le recours sera par conséquent rejeté.</w:t>
      </w:r>
    </w:p>
    <w:p>
      <w:r>
        <w:rPr>
          <w:b/>
        </w:rPr>
        <w:t>E. 5</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