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P/4531/2023 vom 21. Juli 2023</w:t>
      </w:r>
    </w:p>
    <w:p>
      <w:r>
        <w:t>GE Cour de justice, 2023-07-21, FR</w:t>
      </w:r>
    </w:p>
    <w:p>
      <w:r>
        <w:rPr>
          <w:b/>
        </w:rPr>
        <w:t xml:space="preserve">Quelle: </w:t>
      </w:r>
      <w:r>
        <w:t>https://mcp.opencaselaw.ch/entscheid/ge_gerichte_P_4531_2023</w:t>
      </w:r>
    </w:p>
    <w:p>
      <w:r>
        <w:t>FR: GE_GERICHTE P/4531/2023 du 21 juillet 2023</w:t>
      </w:r>
    </w:p>
    <w:p>
      <w:r>
        <w:t>IT: GE_GERICHTE P/4531/2023 del 21 luglio 2023</w:t>
      </w:r>
    </w:p>
    <w:p>
      <w:pPr>
        <w:pStyle w:val="Heading2"/>
      </w:pPr>
      <w:r>
        <w:t>Regeste</w:t>
      </w:r>
    </w:p>
    <w:p>
      <w:r>
        <w:t>ORDONNANCE DE NON-ENTRÉE EN MATIÈRE;RECEL;INTENTION | CPP.310; CP.160</w:t>
      </w:r>
    </w:p>
    <w:p>
      <w:pPr>
        <w:pStyle w:val="Heading2"/>
      </w:pPr>
      <w:r>
        <w:t>Erwägungen</w:t>
      </w:r>
    </w:p>
    <w:p>
      <w:r>
        <w:rPr>
          <w:b/>
        </w:rPr>
        <w:t>E. 1.1</w:t>
      </w:r>
    </w:p>
    <w:p>
      <w:r>
        <w:t>Le recours a été interjeté selon la forme et – faute de notification conforme à l'art. 85 al. 2 CPP – dans le délai prescrits (art. 385 al. 1 et 396 al. 1 CPP) et concerne une ordonnance sujette à recours auprès de la Chambre de céans (art. 393 al. 1 let. a CPP). ![endif]&gt;![if&gt; Ladite ordonnance ne concerne toutefois que le mis en cause et ne porte – en fait et en droit – que sur l'infraction de recel au sens de l'art. 160 CP, le Ministère public ayant, préalablement, refusé la délégation de la poursuite sollicitée par les autorités françaises. L'autorité intimée ne s'est donc pas prononcée sur les infractions de vol (art. 139 CP), d'escroquerie (art. 146 CP) et de faux dans les titres (art. 251 CP). Partant, la Chambre de céans, faute de décision préalable, ne saurait se pencher sur les griefs soulevés par le recourant en lien avec ces infractions, de même que sur la responsabilité de l'OCV.</w:t>
      </w:r>
    </w:p>
    <w:p>
      <w:r>
        <w:rPr>
          <w:b/>
        </w:rPr>
        <w:t>E. 1.2</w:t>
      </w:r>
    </w:p>
    <w:p>
      <w:r>
        <w:t>Par ailleurs, la situation successorale du défunt père du recourant apparaît, compte tenu du dossier et sans élément nouveau depuis les explications obtenues par la police de l'oncle ayant initialement stationné [le véhicule] C______, incertaine et confuse. Si l'on peut supposer que le recourant, en tant qu'il conteste la non-entrée en matière sur l'infraction de recel, intervient comme héritier au sens de l'art. 121 al. 1 CPP, cela ne suffit pas encore à lui octroyer la qualité pour agir (art. 382 al. 1 CPP). Le recours s'avérant, de toute manière, infondé pour les motifs développés plus bas, cette question peut néanmoins souffrir de rester indécise.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![endif]&gt;![if&gt;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w:t>
      </w:r>
    </w:p>
    <w:p>
      <w:r>
        <w:rPr>
          <w:b/>
        </w:rPr>
        <w:t>E. 2.2</w:t>
      </w:r>
    </w:p>
    <w:p>
      <w:r>
        <w:t>Aux termes de l'art. 160 ch. 1 al. 1 CP, commet un recel quiconque acquiert, reçoit en don ou en gage, dissimule ou aide à négocier une chose dont il sait ou doit présumer qu’un tiers l’a obtenue au moyen d’une infraction contre le patrimoine.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p. 24). Cette dernière notion s'entend de manière large. Elle ne se limite pas aux seules infractions figurant au titre 2 de la partie spéciale du Code pénal, mais s'étend à toutes celles dirigées contre le patrimoine d'autrui (p. ex.: recel de la rançon d'un rapt: ATF 127 IV 79 consid. 2b, p. 83). Le point de savoir si l'auteur du délit préalable a été poursuivi ou puni est sans pertinence. Il suffit que l'acte initial réalise les conditions objectives d'un comportement pénalement répréhensible (ATF 101 IV 402 consid. 2 p. 405 et les références). Comme en matière de blanchiment (art. 305 bis CP), la preuve stricte de l'acte préalable n'est pas exigée (cf. ATF 120 IV 323 consid. 3d p. 328; arrêt 6B_728/2010 du 1 er mars 2011 consid. 2.2). Sur le plan subjectif, l'art. 160 CP définit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(arrêts 6B_1124/2014 du 22 septembre 2015 consid. 2.1; 6B_728/2010 du 1 er mars 2010 consid. 2.2.).</w:t>
      </w:r>
    </w:p>
    <w:p>
      <w:r>
        <w:rPr>
          <w:b/>
        </w:rPr>
        <w:t>E. 2.3</w:t>
      </w:r>
    </w:p>
    <w:p>
      <w:r>
        <w:t>En l'espèce, le dossier ne permet pas, en l'état, d'établir avec certitude si la voiture a été soustraite sans droit à son ou ses détenteur(s). Il n'est toutefois pas nécessaire d'examiner plus en avant si une infraction contre le patrimoine a préalablement été réalisée, dans la mesure où un autre élément constitutif du recel n'apparaît pas donné. Le mis en cause a reçu comme instructions de se renseigner sur le véhicule en cause, qui lui a été, dès le début, présenté comme abandonné. Les informations qu'il a récoltées ensuite, du garage de provenance du [véhicule] C______ et, plus particulièrement, de l'OCV, étaient de nature à le conforter dans cette idée. Pour lui, l'ancien détenteur était décédé, ses enfants introuvables et les impôts s'accumulaient. Enfin, il a pu effectuer les démarches auprès de l'OCV pour ré-immatriculer la voiture, sans que cela ne soulève de difficultés particulières. En obtenant ainsi une nouvelle carte grise, émise formellement par l'OCV, dans le but spécifique de ré-immatriculer le véhicule au nom d'un tiers, le mis en cause pouvait valablement imaginer agir dans la légalité. Toute intention délictuelle du mis en cause – même sous la forme du dol éventuel – peut donc être exclue. Les contradictions soulevées par le recourant concernant les déclarations de celui-ci ne sont pas à même de renverser ce constat ou sont sans pertinence pour la cause. Compte tenu de ce qui précède, les conditions du recel ne sont, dès lors, pas réunies.</w:t>
      </w:r>
    </w:p>
    <w:p>
      <w:r>
        <w:rPr>
          <w:b/>
        </w:rPr>
        <w:t>E. 3</w:t>
      </w:r>
    </w:p>
    <w:p>
      <w:r>
        <w:t>Justifiée, l'ordonnance querellée sera donc confirmée. ![endif]&gt;![if&gt;</w:t>
      </w:r>
    </w:p>
    <w:p>
      <w:r>
        <w:rPr>
          <w:b/>
        </w:rPr>
        <w:t>E. 4</w:t>
      </w:r>
    </w:p>
    <w:p>
      <w:r>
        <w:t>Le recourant, qui succombe, supportera les frais envers l'État, fixés en intégralité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