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P/4509/2016 vom 21. März 2017</w:t>
      </w:r>
    </w:p>
    <w:p>
      <w:r>
        <w:t>GE Cour de justice, 2017-03-21, FR</w:t>
      </w:r>
    </w:p>
    <w:p>
      <w:r>
        <w:rPr>
          <w:b/>
        </w:rPr>
        <w:t xml:space="preserve">Quelle: </w:t>
      </w:r>
      <w:r>
        <w:t>https://mcp.opencaselaw.ch/entscheid/ge_gerichte_P_4509_2016</w:t>
      </w:r>
    </w:p>
    <w:p>
      <w:r>
        <w:t>FR: GE_GERICHTE P/4509/2016 du 21 mars 2017</w:t>
      </w:r>
    </w:p>
    <w:p>
      <w:r>
        <w:t>IT: GE_GERICHTE P/4509/2016 del 21 marzo 2017</w:t>
      </w:r>
    </w:p>
    <w:p>
      <w:pPr>
        <w:pStyle w:val="Heading2"/>
      </w:pPr>
      <w:r>
        <w:t>Regeste</w:t>
      </w:r>
    </w:p>
    <w:p>
      <w:r>
        <w:t>PROCÉDURE ÉCRITE ; PLAIGNANT ; IN DUBIO PRO REO ; INFRACTIONS CONTRE LE PATRIMOINE ; VOL(DROIT PÉNAL) ; LOI FÉDÉRALE SUR LES ÉTRANGERS ; DIRECTIVE 2008/115/CE ; FIXATION DE LA PEINE ; CONCOURS D'INFRACTIONS ; TENTATIVE(DROIT PÉNAL) ; PEINE PRIVATIVE DE LIBERTÉ ; SURSIS À L'EXÉCUTION DE LA PEINE ; INDEMNITÉ(EN GÉNÉRAL) | CPP.406.2 CP.139.1 LEtr.115.1.B CP.47 CP.49.1 CP.22 CP.41.1 CP.42 CPP.429</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Quand bien même la partie plaignante n'a pas donné formellement son accord pour le traitement de la procédure d'appel par voie écrite, la CPAR est d'avis que si l'art. 406 al. 2 CPP prévoit formellement l'accord " des parties ", l'intention du législateur et du Tribunal fédéral, en vue de garantir la tenue d'un procès équitable, est d'admettre un droit d'être entendu oralement avant tout au prévenu, pour permettre notamment une appréciation directe de sa personnalité et de faire valoir de vive voix ses arguments, ce qui est corroboré par le texte de la loi qui mentionne le caractère indispensable ou non de sa présence aux débats d'appel (art. 406 al. 2 let. a CPP ; arrêt du Tribunal fédéral 6B_419/2013 du 26 septembre 2013). Il est partant douteux que le silence ou le refus d'une partie plaignante d'adhérer à une instruction écrite lie la juridiction d'appel au sens de cette disposition.</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L'art. 139 ch. 1 CP sanctionne celui qui, pour se procurer ou procurer à un tiers un enrichissement illégitime, aura soustrait une chose mobilière appartenant à autrui dans le but de se l'approprier.</w:t>
      </w:r>
    </w:p>
    <w:p>
      <w:r>
        <w:rPr>
          <w:b/>
        </w:rPr>
        <w:t>E. 2.3</w:t>
      </w:r>
    </w:p>
    <w:p>
      <w:r>
        <w:t>En l'espèce, l'appelant a constamment prétendu ne pas se souvenir de ce qu'il aurait fait la nuit du vol de divers effets et valeurs constatés dans la voiture de la partie plaignante. Dans la mesure où son profil ADN a été retrouvé dans l'habitacle, sur l'étui ayant contenu la paire de lunettes de soleil de marque dérobée à l'intimée, la CPAR n’a aucun doute quant au fait qu'il ait introduit son bras ou sa main dans l'habitacle. Il s'est certainement blessé par le bris préalable de la vitre, en atteste la présence sur la portière avant de traces de sang, quand bien même le profil ADN n'en a pas expressément été attribué à l'appelant. Ce dernier n'avait ce faisant assurément d'autre but que de dérober les effets se trouvant dans le véhicule. Il n'est par ailleurs pas surprenant qu'il n'ait pas été retrouvé en possession du butin, interpellé près de cinq mois après les faits et se disant sans domicile fixe connu, ce qui excluait la possibilité d'une perquisition. Autant dire qu'il a largement eu le temps de receler son butin. Ce nonobstant, ayant bénéficié en première instance d'un acquittement pour les dommages à la propriété causés et seule une tentative de vol ayant été retenue à son encontre, le principe de l'interdiction de la reformatio in pejus exclut qu'il soit revenu en appel sur ces constatations (art. 391 al. 2 CPP), faute d'appel du Ministère public. La CPAR pourra ainsi tout au plus confirmer la culpabilité de l'appelant pour tentative de vol. Le jugement de première instance sera confirmé sur ce point. 2.4.1. Par arrêté fédéral du 18 juin 2010 (RO 2010 5925), la Suisse a repris la Directive sur le retour 2008/115/CE. Pour le Tribunal fédéral, il convient d'appliquer l'art. 115 LEtr en considération de la jurisprudence de la Cour de justice de l'Union européenne (ci-après : la CJUE) relative à ladite Directive, sans quoi la participation de la Suisse à Schengen pourrait être menacée (arrêts du Tribunal fédéral 6B_1172/2014 du 23 novembre 2015 consid. 1.1 ; 6B_196/2012 du 24 janvier 2013 consid. 2.1 ; 6B_173/2013 du 19 août 2013 consid. 1.1 ss). 2.4.2. La Directive sur le retour n'est pas applicable aux ressortissants des pays tiers qui ont commis, outre le séjour irrégulier, un ou plusieurs autres délits (art. 2 al. 2 let. b de la Directive sur le retour) en dehors du droit pénal sur les étrangers (arrêt du Tribunal fédéral 6B_320/2013 du 29 août 2013 consid. 3.2 ; M. SPESCHA / H. THUR / A. ZUND / P. BOLZLI / C. HRUSCHKA [éds], Migrationsrecht, Kommentar,</w:t>
      </w:r>
    </w:p>
    <w:p>
      <w:r>
        <w:rPr>
          <w:b/>
        </w:rPr>
        <w:t>E. 2.5</w:t>
      </w:r>
    </w:p>
    <w:p>
      <w:r>
        <w:t>L'appelant étant reconnu coupable de tentative de vol en sus d'une infraction à la législation sur les étrangers, la Directive européenne sur le retour ne trouve pas application. Il est constant que l’appelant a séjourné entre le 29 février 2012, date de sa sortie de La Brenaz, et son interpellation du 7 mars 2016, sur le territoire suisse sans être au bénéfice des autorisations nécessaires, démuni de papiers d'identité, de domicile fixe et de moyens d'existence, et bien que faisant l'objet d'une décision de non-entrée en matière sur sa demande d'asile du 8 février 2008, comportement constitutif d’infraction à l'art. 115 al. 1 let. b LEtr. Sa culpabilité pour ce chef d'infraction sera partant également confirmée.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3e éd., Bâle 2013, n. 130 ad art. 47;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 Bâle 2009, n. 55 ad art. 47).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3.1.3.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3.1.4. Le juge peut par ailleurs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3.1.2.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Pour l'octroi du sursis, le juge doit poser un pronostic quant au comportement futur de l'auteur, la question de savoir si le sursis serait de nature à le détourner de commettre de nouvelles infractions devant être tranchées sur la base d’une appréciation d'ensemble, qui tient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l'absence de pronostic défavorable étant suffisante. En d’autres termes, le sursis est désormais la règle dont on ne peut s'écarter qu'en présence d'un pronostic défavorable et prime en cas d’incertitude (ATF 134 IV 1 consid. 4.2.2).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peut être exécuté. Lorsque des motifs de prévention spéciale permettent de considérer que l'une ou l’autre de ces peines seraient d'emblée inadaptées, le juge peut prononcer une peine privative de liberté de courte durée (arrêts du Tribunal fédéral 6B_765/2016 du 21 février 2017 et 6B_889/2015 du 30 mai 2016). 3.2. Bien qu'il attaque le jugement dans son ensemble, l'appelant n'émet pas de critique spécifique sur la peine qui lui a été infligée. La CPAR retient que la faute n'est pas anodine puisque, outre une tentative de vol, il a commis une infraction à la LEtr portant sur plus de quatre ans. Il y a concours d'infractions entre la tentative de vol et l'infraction à l'art. 115 let. b LEtr, punissables d'une peine privative de liberté de cinq ans au plus ou d'une peine pécuniaire pour la première (dans sa forme achevée) et d'une peine privative de liberté d'un an au plus ou d'une peine pécuniaire pour la seconde. Le mobile de l'appelant est égoïste. Sa situation personnelle, bien que précaire, ne peut justifier ses agissements dans la mesure où elle résulte de son choix de demeurer en Suisse sans droit. Sa collaboration à la procédure doit être qualifiée de moyenne. Bien qu'il ait admis certains faits, qu'il pouvait au demeurant difficilement contester ayant en particulier été interpellé sur le territoire où il résidait sans droit, il a continué à nier, jusqu'au stade de l'appel, l'évidence, sous couvert d'une prétendue absence de souvenirs, la tentative de vol en dépit des éléments contraires figurant au dossier et l'accablant. Sa prise de conscience apparait ainsi incomplète, le fait qu'il ait admis avoir commis une "bêtise" devant la police entrant en contradiction avec ce qu'il plaide encore en appel. Il a de nombreux antécédents pour des infractions contre le patrimoine et à la LEtr. Il n'a tiré aucune leçon des décisions de justice prises à son encontre et s'est montré insensible à ses condamnations à de courtes peines privatives de liberté. Il y a lieu de tenir compte que le vol en est resté au stade de la tentative. Vu la situation précaire de l'appelant en Suisse qui ne s'est pas améliorée depuis sa venue et dont aucun élément du dossier ne laisse présager que tel sera le cas à l'avenir, a fortiori vu une interdiction qui devrait lui être notifiée, le pronostic ne peut qu'être défavorable. Par conséquent, seule une peine ferme pouvait être prononcée. Eu égard à son statut administratif et aux peines privatives de liberté déjà prononcées, et, manifestement non dissuasives, la propension de l'appelant à commettre des infractions ne permet pas d'envisager une peine de travail d'intérêt général ou une peine pécuniaire au titre de sanction. C’est donc à bon droit que le premier juge l'a condamné à une peine privative de liberté ferme de 45 jours, dont ni le genre, ni la quotité ne sont discutés par l'appelant.</w:t>
      </w:r>
    </w:p>
    <w:p>
      <w:r>
        <w:rPr>
          <w:b/>
        </w:rPr>
        <w:t>E. 4</w:t>
      </w:r>
    </w:p>
    <w:p>
      <w:r>
        <w:t>Vu l'issue du litige, les prétentions de l'appelant fondée sur l'art. 429 CPP seront rejetées.</w:t>
      </w:r>
    </w:p>
    <w:p>
      <w:r>
        <w:rPr>
          <w:b/>
        </w:rPr>
        <w:t>E. 5</w:t>
      </w:r>
    </w:p>
    <w:p>
      <w:r>
        <w:t>L'appelant, qui succombe, supportera les frais de la procédure envers l'Etat, comprenant un émolument de CHF 1'500.-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