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P/4502/2018 vom 21. Dezember 2023</w:t>
      </w:r>
    </w:p>
    <w:p>
      <w:r>
        <w:t>GE Cour de justice, 2023-12-21, FR</w:t>
      </w:r>
    </w:p>
    <w:p>
      <w:r>
        <w:rPr>
          <w:b/>
        </w:rPr>
        <w:t xml:space="preserve">Quelle: </w:t>
      </w:r>
      <w:r>
        <w:t>https://mcp.opencaselaw.ch/entscheid/ge_gerichte_P_4502_2018</w:t>
      </w:r>
    </w:p>
    <w:p>
      <w:r>
        <w:t>FR: GE_GERICHTE P/4502/2018 du 21 décembre 2023</w:t>
      </w:r>
    </w:p>
    <w:p>
      <w:r>
        <w:t>IT: GE_GERICHTE P/4502/2018 del 21 dicembre 2023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90 al. 3 LCR réprime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Selon l'art. 90 al. 4 let. c LCR, là où la limite est fixée au plus à 80 km/h, l'excès de vitesse est particulièrement important lorsque la vitesse maximale autorisée a été dépassée d'au moins 60 km/h. Lorsque l'excès de vitesse atteint l'un des seuils fixés par l'art. 90 al. 4 LCR, la première condition objective de l'art. 90 al. 3 LCR, à savoir la violation d'une règle fondamentale de la circulation routière, est toujours remplie. Un tel excès de vitesse qualifié suffit déjà en principe à réaliser également la seconde condition objective, à savoir la création d'un danger abstrait qualifié, dès lors que l'atteinte de l'un des seuils visés à l'art. 90 al. 4 LCR implique généralement l'impossibilité d'éviter un grand risque d'accident en cas d'obstacle ou de perte de maîtrise du véhicule. Cependant, dans des circonstances exceptionnelles, en particulier lorsque la limitation de vitesse dépassée n'a pas pour objet la sécurité routière, l'excès de vitesse au sens de l'art. 90 al. 4 LCR peut ne pas avoir entraîné un grand risque d'accident susceptible d'entraîner des blessures graves ou la mort. Cette disposition crée ainsi une présomption réfragable de la réalisation de la condition objective du danger qualifié au sens de l'art. 90 al. 3 LCR (ATF 143 IV 508 consid. 1.6). À cet égard, des conditions de circulation idéales, tant du point de vue de la météo que du trafic, une route très large et l'absence de croisement ou de passage piétons ne constituent pas des éléments de fait particuliers permettant de renverser cette présomption (ATF précité, consid. 1.7 ss). Sur le plan subjectif, l'intention doit porter sur la violation des règles fondamentales de la circulation routière ainsi que sur le risque d'accident pouvant entraîner de graves blessures ou la mort. Celui qui commet un excès de vitesse appréhendé par l'art. 90 al. 4 LCR réalise en principe les conditions subjectives de l'infraction. Celles-ci ne peuvent être exclues que dans des constellations particulières, comme une défaillance technique du véhicule (dysfonctionnement des freins ou du régulateur de vitesse), une pression extérieure (menaces, prise d'otage), des problèmes médicaux soudains (par exemple une crise d'épilepsie) ou encore le caractère improbable de la limitation de vitesse (ATF 142 IV 137 consid. 3.3, 10.1 et 11.2).</w:t>
      </w:r>
    </w:p>
    <w:p>
      <w:r>
        <w:rPr>
          <w:b/>
        </w:rPr>
        <w:t>E. 3</w:t>
      </w:r>
    </w:p>
    <w:p>
      <w:r>
        <w:t>1.3.2. Les infractions prévues aux art. 90 al. 2, 91a al. 1 et 95 al. 1 let. a LCR, non contestées en appel, sont quant à elles passibles d'une peine privative de liberté de trois ans au plus ou d'une peine pécuniaire.</w:t>
      </w:r>
    </w:p>
    <w:p>
      <w:r>
        <w:rPr>
          <w:b/>
        </w:rPr>
        <w:t>E. 3.2</w:t>
      </w:r>
    </w:p>
    <w:p>
      <w:r>
        <w:t>Selon l'art. 47 CP (ancien comme nouveau),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Tätkomponente). Du point de vue subjectif, sont pris en compte l'intensité de la volonté délictuelle ainsi que les motivations et les buts de l'auteur (subjektive Tätkomponente).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les antécédents, y compris ceux étrangers, continuent de jouer un rôle très important dans la fixation de celle-ci (ATF 105 IV 225 consid. 2 ; arrêt du Tribunal fédéral 6B_1202/2014 du 14 avril 2016 consid. 3.5 ; M. NIGGLI / H. WIPRÄCHTIGER, Basler Kommentar Strafrecht I : 1-110 StGB, Jugendstrafgesetz, Bâle 2019, n. 130 ad art. 47). En général, la culpabilité de l'auteur est amplifiée du fait qu'il n'a pas tenu compte de l'avertissement constitué par la précédente condamnation, et sa rechute témoigne d'une énergie criminelle accrue (L. MOREILLON / A. MACALUSO / N. QUELOZ / N. DONGOIS (éds), Commentaire romand, Code pénal I, art. 1-110 CP, 2 ème éd., Bâle 2021, n. 54 ad art. 47).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et ont d'autant moins de poids que la dernière condamnation est ancienne et que l'auteur a adopté un bon comportement depuis (ATF 135 IV 87 consid. 2 ; 123 IV 49 consid. 1.d).</w:t>
      </w:r>
    </w:p>
    <w:p>
      <w:r>
        <w:rPr>
          <w:b/>
        </w:rPr>
        <w:t>E. 3.3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L'art. 49 al. 1 CP impose ainsi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3.4</w:t>
      </w:r>
    </w:p>
    <w:p>
      <w:r>
        <w:t>La durée de la peine privative de liberté est en règle générale de six mois au moins et de 20 ans au plus (art. 40 aCP). 3.5.1. Le juge suspend l'exécution notamment d'une peine pécuniaire ou d'une peine privative de liberté de deux ans au plus lorsqu'une peine ferme ne paraît pas nécessaire pour détourner l'auteur d'autres crimes ou délits (art. 42 al. 1 aCP et art. 42 al. 1 nCP).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aCP).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L'art. 43 aCP permet au juge de suspendre partiellement l'exécution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(al. 3). Les conditions permettant l'octroi du sursis au sens de l'art. 42 CP valent également pour le sursis partiel prévu à l'art. 43 CP. Plus le pronostic est favorable et plus le caractère blâmable de l'acte est limité, plus la partie suspendue de la peine doit être importante (ATF 134 IV 1 consid. 5.3.1, 5.5.1 et 5.6).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Cette réserve doit être rapprochée de celle de l'ordre public (arrêts du Tribunal fédéral 6B_244/2010 du 4 juin 2010 consid. 1 ;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(M. NIGGLI / H. WIPRÄCHTIGER, op. cit., n. 96 ad art. 42). 3.5.2. Si le juge suspend totalement ou partiellement l'exécution d'une peine, il impartit au condamné un délai d'épreuve de deux à cinq ans (art. 44 al. 1 aCP). 3.6.1. La faute de l'appelant est importante. Alors qu'il n'était titulaire d'aucun permis de conduire valable, il a conduit en l'espace de six mois à trois occasions des véhicules prêtés, soit les 3 septembre 2017, 7 octobre 2017 et 26 février 2018. Il a dépassé à deux reprises la vitesse autorisée, de 42 km/h respectivement de 63 km/h, sur des routes susceptibles d'être fréquentées, sans se soucier du danger que représentait un tel comportement pour les autres usagers de la route, violant ainsi gravement les règles de la circulation routière, dont celles fondamentales au vu du délit de chauffard commis. Il a également heurté avec l'avant de sa voiture l'arrière d'un autre véhicule, causant de la sorte des douleurs musculaires à la nuque du conducteur. Il est, certes, sorti du véhicule pour s'enquérir de l'état de santé du concerné, mais a néanmoins quitté les lieux sans attendre l'arrivée de la police, omettant ainsi volontairement de remplir ses obligations en cas d'accident et se dérobant aux mesures permettant de déterminer son incapacité de conduire. Il a agi égoïstement et par convenance personnelle, dans le seul but de se déplacer plus rapidement et facilement, au mépris de la loi en vigueur et de la sécurité d'autrui. Sa collaboration à la procédure a été mauvaise, ne cessant de minimiser ses actes, niant les infractions, puis n'admettant que partiellement les moins graves au vu des éléments à charge, étant précisé que les seuls faits reconnus sont ceux où il a été confronté à des preuves matérielles à ce point incriminantes qu'elles rendent vaines toute velléité de s'en abstraire, surtout pour ceux du 26 février 2018. Ses déclarations ont été contradictoires et évolutives. Il continue même en appel à contester son implication durant la nuit du 7 octobre 2017 et ce, malgré l'existence d'un faisceau d'indices concordants attestant de sa culpabilité. Il s'est évertué à nier l'évidence, en particulier à ne pas se reconnaître sur l'image radar. Il ne peut donc pas se prévaloir d'une prise de conscience de la gravité de ses actes. Malgré les explications de son conseil, son absence à l'audience de jugement, à deux reprises, démontre une certaine désinvolture et un manque de volonté d'affronter la justice, étant souligné qu'il ressort du dossier qu'il a été informé de la délivrance des mandats de comparution. Sa situation personnelle, fût-elle précaire, ne justifie en rien les actes commis. Aucune circonstance atténuante n'est réalisée ni, à juste titre, plaidée. Ses antécédents sont déplorables au regard de leur nombre, mais également de leur gravité (vols avec violence, outrage, menace, rébellions, voies de fait, détériorations de biens, violences, escroquerie, infraction contre la liberté, port sans motif légitime d'arme blanche ou incapacitante, etc.). Les peines privatives de liberté prononcées à son encontre, dont la dernière le 10 janvier 2022 en France à un an et six mois, dont dix mois avec sursis durant deux ans, n'ont pas eu l'effet escompté. La majorité des inscriptions concerne, certes, des faits relativement anciens mais ses agissements démontrent toutefois un ancrage dans la délinquance, étant souligné qu'il a des antécédents spécifiques en lien avec des conduites de véhicules automobiles sans le permis de conduire, tant en Suisse (une reprise en 2015) qu'en France (trois reprises en 2008, 2013 et 2022), dont la dernière le 25 février 2022, en sus d'une conduite sous l'influence de substances, alors même que la présente procédure, pour laquelle cette même infraction lui est reprochée à trois reprises, était en cours. Au vu de ce qui précède, c'est à juste titre que le premier juge a considéré que seule une peine privative de liberté pouvait entrer en considération pour sanctionner adéquatement la faute de l'appelant, ce que ce dernier ne conteste d'ailleurs pas. Pour les mêmes motifs, l'application du cas privilégié prévu à l'art. 90 al. 3 ter LCR est exclue. L'appelant a commis diverses infractions ces dernières années, notamment routières pour persister à conduire sans être au bénéfice d'un permis de conduire et sous l'influence de substances, mettant ainsi gravement en danger la sécurité de tiers. Une peine pécuniaire serait inadéquate. Il y a concours d'infractions, ce qui constitue un facteur aggravant. 3.6.2. Au vu de la peine maintenue à 12 mois pour l'infraction objectivement la plus grave, soit le délit de chauffard, le concours effectué par le premier juge apparaît même clément compte tenu du comportement de l'appelant et de son mépris des lois en vigueur. La peine d'ensemble aurait en effet pu être fixée à 20 mois (12 mois, augmentés de trois mois (peine hypothétique de cinq mois) pour la violation grave des règles de la circulation routière, d'un mois (peine hypothétique de deux mois) pour la violation des obligations en cas d'accident, d'un mois (peine hypothétique de deux mois) pour l'entrave aux mesures de constatation de l'incapacité de conduire et de trois mois (peine hypothétique de quatre mois) pour la conduite sans autorisation commise à trois reprises et dont il y a récidive). Contrairement à ce que soutient l'appelant, le pronostic est mauvais et il n'existe aucune circonstance particulièrement favorable. Le sursis partiel octroyé par le premier juge, particulièrement indulgent, sera partant confirmé, tout comme le délai d'épreuve de trois ans, étant relevé que l'appelant n'a fourni aucune preuve de l'emploi qu'il occuperait actuellement. Compte tenu de l'interdiction de la reformatio in pejus (art. 391 al. 2 CPP), la peine privative de liberté de 18 mois, sans sursis durant six mois, avec un délai d'épreuve de trois ans pour le solde, arrêtée par le TP sera ainsi confirmée et l'appel rejeté.</w:t>
      </w:r>
    </w:p>
    <w:p>
      <w:r>
        <w:rPr>
          <w:b/>
        </w:rPr>
        <w:t>E. 4</w:t>
      </w:r>
    </w:p>
    <w:p>
      <w:r>
        <w:t>L'appelant, qui succombe intégralement, supportera les frais de la procédure envers l'État, comprenant un émolument de jugement de CHF 1'800.- (art. 428 al. 1 CPP). Sa culpabilité étant acquise, la mise à sa charge de la moitié des frais de première instance, en sus de l'entier de l'émolument complémentaire de jugement, sera aussi confirmée (art. 426 al. 1 CPP).</w:t>
      </w:r>
    </w:p>
    <w:p>
      <w:r>
        <w:rPr>
          <w:b/>
        </w:rPr>
        <w:t>E. 5</w:t>
      </w:r>
    </w:p>
    <w:p>
      <w:r>
        <w:t>5.1. Selon l'art. 135 al. 1 CPP, le défenseur d'office est indemnisé selon le tarif des avocats de la Confédération ou du canton du for du procès. À Genève, l'art. 16 du règlement sur l'assistance juridique (RAJ) s'applique. Cette dernière disposition prescrit que l'indemnité, en matière pénale, est calculée selon le tarif horaire, débours de l'étude inclus, de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sous réserve d'exceptions possibles, pour des documents particulièrement volumineux ou nécessitant un examen poussé, charge à l'avocat d'en justifier ( ACPR/756/2016 du 24 novembre 2016 consid. 5.2). Ainsi, les communications et courriers divers, y compris l'annonce et la déclaration d'appel, sont en principe inclus, de même que d'autres documents ne nécessitant pas ou peu de motivation ou autre investissement particulier en termes de travail juridique, tels de brèves observations ou déterminations.</w:t>
      </w:r>
    </w:p>
    <w:p>
      <w:r>
        <w:rPr>
          <w:b/>
        </w:rPr>
        <w:t>E. 5.3</w:t>
      </w:r>
    </w:p>
    <w:p>
      <w:r>
        <w:t>À l'aune de ces principes, il convient de retrancher de l'état de frais du conseil de l'appelant pour la procédure d'appel, les dix minutes pour la rédaction de l'annonce d'appel ainsi que 40 minutes de lecture du jugement motivé (sur une heure et 10 minutes au total), activités couvertes par le forfait, de sorte qu'il n'y a pas lieu de les indemniser en sus, étant relevé que les 30 minutes restantes pour l'étude du jugement de première instance seront exceptionnellement comptabilisées au vu du la durée raisonnable sollicitée pour la rédaction du mémoire d'appel. L'indemnisation en appel sera ainsi arrêtée à CHF 1'120.15, correspondant à quatre heures et 20 minutes d'activité au tarif de CHF 200.-/heure (CHF 866.70), plus la majoration forfaitaire de 20% (CHF 173.35), en sus de la TVA (CHF 80.10) (ATF 141 IV 344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