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P/448/2016 vom 31. Januar 2017</w:t>
      </w:r>
    </w:p>
    <w:p>
      <w:r>
        <w:t>GE Cour de justice, 2017-01-31, FR</w:t>
      </w:r>
    </w:p>
    <w:p>
      <w:r>
        <w:rPr>
          <w:b/>
        </w:rPr>
        <w:t xml:space="preserve">Quelle: </w:t>
      </w:r>
      <w:r>
        <w:t>https://mcp.opencaselaw.ch/entscheid/ge_gerichte_P_448_2016</w:t>
      </w:r>
    </w:p>
    <w:p>
      <w:r>
        <w:t>FR: GE_GERICHTE P/448/2016 du 31 janvier 2017</w:t>
      </w:r>
    </w:p>
    <w:p>
      <w:r>
        <w:t>IT: GE_GERICHTE P/448/2016 del 31 gennaio 2017</w:t>
      </w:r>
    </w:p>
    <w:p>
      <w:pPr>
        <w:pStyle w:val="Heading2"/>
      </w:pPr>
      <w:r>
        <w:t>Regeste</w:t>
      </w:r>
    </w:p>
    <w:p>
      <w:r>
        <w:t>ARME(OBJET) ; LÉSION CORPORELLE SIMPLE ; TENTATIVE(DROIT PÉNAL) ; SÉJOUR ILLÉGAL ; FRAIS JUDICIAIRES | CP22.1 CP123.1.2 LETR115.1.B LARM4.6 CPP135 LSTUP19.A</w:t>
      </w:r>
    </w:p>
    <w:p>
      <w:pPr>
        <w:pStyle w:val="Heading2"/>
      </w:pPr>
      <w:r>
        <w:t>Erwägungen</w:t>
      </w:r>
    </w:p>
    <w:p>
      <w:r>
        <w:rPr>
          <w:b/>
        </w:rPr>
        <w:t>E. 1</w:t>
      </w:r>
    </w:p>
    <w:p>
      <w:r>
        <w:t>L'appel est recevable pour avoir été interjeté et motivé selon la forme et dans les délais prescrits (art. 398 et 399 code de procédure pénale suisse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3.1. 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2.3.2. L'art. 123 CP consacre une infraction de base, poursuivie sur plainte (ch. 1) et des circonstances aggravantes, poursuivies d'office (ch.2). 2.3.3. Au nombre de ces circonstances aggravantes il y a notamment celle de l'usage du poison, d'une arme ou d'un objet dangereux. 2.3.3.1. Les canifs ou couteaux suisses nécessitant l'usage des deux mains pour être dépliés ne sont en principe pas des armes (art. 4 al. 6 de la loi fédérale sur les armes, les accessoires d'armes et les munitions du 20 juin 1997 [(LArm ; RS 514.54)]. Selon l'art. 7 de l'ordonnance du 2 juillet 2008 sur les armes, les accessoires d’armes et les munitions (OArm ; RS 514.541), sont considérés comme des armes, les couteaux a) à ressort ou autre, dont le mécanisme d'ouverture automatique peut être actionné d'une seule main ; b) dont la longueur totale en position ouverte mesure plus de 12 cm, et c) dont la lame mesure plus de 5 cm. 2.3.3.2.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ainsi que les références doctrinales citées par l'arrêt du Tribunal fédéral 6B_590/2014 du 12 mars 2015 consid. 1.3). La notion d'objet dangereux est vague, de sorte que le juge dispose d'un certain pouvoir d'appréciation. À titre d'exemple, le Tribunal fédéral a retenu la qualification d'objet dangereux pour une chope de bière lancée à la tête d'autrui (ATF 101 IV 285 ) ou un verre à cocktail d'une dizaine de centimètres (arrêt du Tribunal fédéral 6B_590/2014 du 12 mars 2015 consid. 1.3), mais aussi pour un patin à glace lorsque l'auteur s'en sert pour frapper avec force la jambe d'une personne (ATF 111 IV 123 ).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L'utilisation d'un chien contre un être humain peut aussi répondre à la qualification d'objet dangereux (M. NIGGLI / H. WIPRÄCHTIGER, Basler Kommentar Strafrecht II : Art. 111-392 StGB , 3 e éd., Bâle 2013, n. 21 ad art. 123). Ces auteurs renvoient à un arrêt allemand (BGHSt 14, 152) qui a retenu cette qualification lorsque l'animal avait été lancé, sur ordre, contre un enfant et l'avait mordu au bras ( ACPR/3/2016 du 12 janvier 2016 consid. 3.2.). En édictant l'art. 123 ch. 2 CP, le législateur n'a pas tenu compte du résultat, mais a voulu que l'auteur des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L'art. 9 CPP consacre la maxime d'accusation. Aux termes de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(ATF 140 IV 188 consid. 1.3 p. 190 ; ATF 133 IV 235 consid. 6.2 p. 244 ; arrêt du Tribunal fédéral 6B_58/2016 du 18 août 2016 consid. 1.1). Lorsque par la voie de l'opposition, l'affaire est transmise au tribunal de première instance, l'ordonnance pénale tient lieu d'acte d'accusation (art. 356 al. 1 CPP). Le tribunal est lié par l'état de fait décrit dans l'acte d'accusation (principe de l'immutabilité de l'acte d'accusation), mais peut s'écarter de l'appréciation juridique qu'en fait le ministère public (art. 350 al. 1 CPP).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w:t>
      </w:r>
    </w:p>
    <w:p>
      <w:r>
        <w:rPr>
          <w:b/>
        </w:rPr>
        <w:t>E. 2.4</w:t>
      </w:r>
    </w:p>
    <w:p>
      <w:r>
        <w:t>Les dénégations de l'appelant selon lesquelles il n'aurait fait que ramasser le couteau qui était tombé de sa poche, pour aussitôt déférer à la sommation de la police, ne sauraient être suivies. Il résulte en effet clairement des images de vidéosurveillance qu'il a continué de poursuivre C______ après la séquence où on le voit se pencher et tendre le bras vers le sol. Il n'est par ailleurs guère plausible que le couteau ait glissé de la poche parce que l'appelant y avait glissé machinalement la main, vu le contexte de course poursuite et l'emplacement particulier de ladite poche, au niveau de la poitrine, ces deux éléments s'accommodant mal d'un geste nonchalant. Il semble bien plutôt que l'appelant s'était saisi du couteau quelques instants plus tôt, alors qu'il tentait de rattraper C______ et avait eu, tout en courant, un geste semblant être celui de porter la main à la poche, puis l'a laissé involontairement tomber au cours de la poursuite, raison pour laquelle il a dû s'arrêter et se baisser pour le ramasser, avant de s'élancer à nouveau derrière la victime. Pour autant, les éléments du dossier ne permettent guère de tenir pour établi que le couteau suisse a été utilisé de manière dangereuse, à l'instar d'une arme. Entre le moment où l'appelant semble avoir pris le couteau dans sa poche, ou alors celui où, quelques instants plus tard, il le ramasse, et son interpellation, il y a une seule séquence où les deux antagonistes semblent – ce n'est pas clair -– s'être trouvés suffisamment proches pour que l'appelant ait été en mesure d'atteindre C______ d'une main porteuse du couteau et son ou ses gestes ne sont pas facilement identifiables. A teneur du procès-verbal de son audition, l'inspecteur qui indique avoir clairement vu l'appelant tenter de "planter" C______ "au niveau de la bouteille" n'a pas été plus précis sur le moment correspondant à cette affirmation ni n'a décrit les gestes qu'il a ainsi interprétés. Or, le doute est d'autant plus permis que les policiers se sont tenus éloignés de plusieurs mètres jusqu'au moment où ils ont décidé d'intervenir. L'ordonnance pénale valant acte d'accusation reflète les lacunes du dossier, reprochant à l'appelant d'avoir "menacé et blessé [C______] au moyen d'un couteau suisse" sans autre description des faits. On aurait certes pu se demander si, en l'occurrence, le couteau suisse ne devrait pas plutôt être qualifié d'arme nonobstant la teneur de l'art. 4 al. 6 LArm, eu égard à ses dimensions et au fait qu'on peut déduire des déclarations de l'appelant qu'il le gardait ouvert dans sa poche, sans doute en raison du fait que l'objet, défectueux, est difficile à déplier. On ne voit d'ailleurs pas sur les images de mouvements pouvant être assimilés à ceux que l'appelant aurait dû faire, des deux mains, pour ouvrir la lame. Toutefois, il aurait fallu que la question fût instruite et les faits pertinents évoqués dans l'ordonnance pénale, ce qui n'est pas le cas. Dans ces circonstances, il n'est pas possible de retenir que l'appelant a tenté de commettre des lésions corporelles simples aggravées par l'usage d'une arme ou d'un objet dangereux. Or, en l'absence de plainte pénale, il ne peut être condamné pour tentative de lésions corporelles simples. L'appel doit ainsi être admis et le jugement annulé sur ce point.</w:t>
      </w:r>
    </w:p>
    <w:p>
      <w:r>
        <w:rPr>
          <w:b/>
        </w:rPr>
        <w:t>E. 3</w:t>
      </w:r>
    </w:p>
    <w:p>
      <w:r>
        <w:t>3.1. À teneur de l'art. 115 al. 1 let. b LEtr, est puni d'une peine privative de liberté d'un an au plus ou d'une peine pécuniaire quiconque séjourne illégalement en Suisse, notamment après l'expiration de la durée du séjour non soumis à autorisation ou du séjour non autorisé.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La Directive sur le retour et la jurisprudence de la CJUE y relative posent le principe selon lequel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C-61/11 PPU El Dridi et du 6 décembre 2011 C-329/11 Achughbabian ; arrêts du Tribunal fédéral 6B_787/2014 du 27 novembre 2014 consid. 2.1 et 6B_173/2013 du 19 août 2013 consid. 1.4). La CJUE a toutefois précisé que les ressortissants de pays tiers ayant, outre le délit de séjour irrégulier, commis un ou plusieurs autres délits, pouvaient le cas échéant, être soustraits au champ d'application de la directive (arrêt du 6 décembre 2011 C-329/11 Achughbabian ,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w:t>
      </w:r>
    </w:p>
    <w:p>
      <w:r>
        <w:rPr>
          <w:b/>
        </w:rPr>
        <w:t>E. 3.2</w:t>
      </w:r>
    </w:p>
    <w:p>
      <w:r>
        <w:t>L'appelant étant acquitté du délit de tentative de lésions corporelles qualifiées, une condamnation du chef de séjour illégal ne pourrait entrer en considération que s'il était établi que la procédure administrative en vue de son renvoi a été menée à terme, sans succès. Tel n'est pas le cas, à teneur du dossier. Le jugement devra donc être annulé sur ce point aussi.</w:t>
      </w:r>
    </w:p>
    <w:p>
      <w:r>
        <w:rPr>
          <w:b/>
        </w:rPr>
        <w:t>E. 4</w:t>
      </w:r>
    </w:p>
    <w:p>
      <w:r>
        <w:t>Faute de récidive, il ne saurait être question de révoquer la libération conditionnelle octroyée le 24 mai 2015.</w:t>
      </w:r>
    </w:p>
    <w:p>
      <w:r>
        <w:rPr>
          <w:b/>
        </w:rPr>
        <w:t>E. 5</w:t>
      </w:r>
    </w:p>
    <w:p>
      <w:r>
        <w:t>L'indemnité de CHF 200.- par jour de détention subi à tort réclamée par l'appelant correspond à la pratique en la matière de sorte qu'il y sera fait droit, le montant alloué étant de CHF 7'200.- plus intérêts au taux de 5 % du 11 avril 2016.</w:t>
      </w:r>
    </w:p>
    <w:p>
      <w:r>
        <w:rPr>
          <w:b/>
        </w:rPr>
        <w:t>E. 6</w:t>
      </w:r>
    </w:p>
    <w:p>
      <w:r>
        <w:t>A juste titre l'appelant ne réclame pas la restitution du couteau. En effet, l'objet a servi à la commission de faits objectivement et subjectivement pénalement répréhensibles, quand bien même aucune condamnation n'a pu être prononcée, faute de plainte pénale de sorte que sa confiscation s'impose (M. DUPUIS / B. GELLER / G. MONNIER / L. MOREILLON / C. PIGUET / C. BETTEX / D. STOLL (éds), Code pénal - Petit commentaire , Bâle 2012 n. 7 ad art. 69 CP). Il n'y a ainsi pas lieu de revenir sur cette mesure, prononcée en première instance.</w:t>
      </w:r>
    </w:p>
    <w:p>
      <w:r>
        <w:rPr>
          <w:b/>
        </w:rPr>
        <w:t>E. 7</w:t>
      </w:r>
    </w:p>
    <w:p>
      <w:r>
        <w:t>Vu l'issue de la procédure, les frais en seront laissés à la charge de l'Etat, la condamnation subsistant, pour contravention à la LStup ne justifiant pas une autre solution.</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8.2</w:t>
      </w:r>
    </w:p>
    <w:p>
      <w:r>
        <w:t>Considéré globalement, l'état de frais du défenseur d'office est conforme aux principes et à la pratique découlant des art. 135 al. 1 CPP et 16. al. 2 RAJ. M e B______ se verra partant allouer une indemnité de CHF 1'166.40 pour quatre heures et trente minutes d'activité, plus le forfait de 20% pour les prestations diverses (CHF 180.-) et la TVA au taux de 8% (CHF 86.40).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