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P/4437/2020 vom 2. Oktober 2020</w:t>
      </w:r>
    </w:p>
    <w:p>
      <w:r>
        <w:t>GE Cour de justice, 2020-10-02, FR</w:t>
      </w:r>
    </w:p>
    <w:p>
      <w:r>
        <w:rPr>
          <w:b/>
        </w:rPr>
        <w:t xml:space="preserve">Quelle: </w:t>
      </w:r>
      <w:r>
        <w:t>https://mcp.opencaselaw.ch/entscheid/ge_gerichte_P_4437_2020</w:t>
      </w:r>
    </w:p>
    <w:p>
      <w:r>
        <w:t>FR: GE_GERICHTE P/4437/2020 du 2 octobre 2020</w:t>
      </w:r>
    </w:p>
    <w:p>
      <w:r>
        <w:t>IT: GE_GERICHTE P/4437/2020 del 2 ottobre 2020</w:t>
      </w:r>
    </w:p>
    <w:p>
      <w:pPr>
        <w:pStyle w:val="Heading2"/>
      </w:pPr>
      <w:r>
        <w:t>Regeste</w:t>
      </w:r>
    </w:p>
    <w:p>
      <w:r>
        <w:t>INDEMNITÉ(EN GÉNÉRAL);AVOCAT;PRÉVENU | CPP.429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réduction de l'indemnité pour ses frais de défense opérée par le Ministère public.</w:t>
      </w:r>
    </w:p>
    <w:p>
      <w:r>
        <w:rPr>
          <w:b/>
        </w:rPr>
        <w:t>E. 2.1</w:t>
      </w:r>
    </w:p>
    <w:p>
      <w:r>
        <w:t>À teneur de l'art. 429 CPP, le prévenu a droit, s'il bénéficie d'une ordonnance de classement, à une indemnité pour les dépenses occasionnées par l'exercice raisonnable de ses droits de procédure (let. a.).</w:t>
      </w:r>
    </w:p>
    <w:p>
      <w:r>
        <w:rPr>
          <w:b/>
        </w:rPr>
        <w:t>E. 2.2</w:t>
      </w:r>
    </w:p>
    <w:p>
      <w:r>
        <w:t>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 Bâle 2011, n. 13 ss ad art. 429 CPP, qui appliquent par analogie la théorie des concours d'infractions).</w:t>
      </w:r>
    </w:p>
    <w:p>
      <w:r>
        <w:rPr>
          <w:b/>
        </w:rPr>
        <w:t>E. 2.3</w:t>
      </w:r>
    </w:p>
    <w:p>
      <w:r>
        <w:t>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"pas négligeable" (arrêt du Tribunal fédéral 6B_156/2014 du 30 juin 2014 consid. 2.3 ; ACPR/545/2014 du 20 novembre 2014).</w:t>
      </w:r>
    </w:p>
    <w:p>
      <w:r>
        <w:rPr>
          <w:b/>
        </w:rPr>
        <w:t>E. 2.4</w:t>
      </w:r>
    </w:p>
    <w:p>
      <w:r>
        <w:t>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Encore faut-il que l'assistance d'un avocat ait été nécessaire, compte tenu de la complexité de l'affaire en fait ou en droit, et que le volume de travail de l'avocat était ainsi justifié (Message, ibid. ).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2.5</w:t>
      </w:r>
    </w:p>
    <w:p>
      <w:r>
        <w:t>La Cour de justice applique un taux horaire de CHF 350.- pour les collaborateurs ( AARP/65/2017 du 23 février 2017).</w:t>
      </w:r>
    </w:p>
    <w:p>
      <w:r>
        <w:rPr>
          <w:b/>
        </w:rPr>
        <w:t>E. 2.6</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w:t>
      </w:r>
    </w:p>
    <w:p>
      <w:r>
        <w:rPr>
          <w:b/>
        </w:rPr>
        <w:t>E. 2.7</w:t>
      </w:r>
    </w:p>
    <w:p>
      <w:r>
        <w:t>En l'espèce, le Ministère public a classé la procédure pénale ouverte contre le recourant pour vol, dommages à la propriété et violation de domicile. Il a maintenu la condamnation pour violation de la LStup. Le recourant a, ainsi, en principe, droit à une indemnité pour l'exercice raisonnable de ses droits de procédure, en lien avec les infractions classées. Ce dernier ayant été originellement condamné par ordonnance pénale à une peine pécuniaire de 120 jours-amende, il était raisonnable qu'il se fût adressé à un avocat pour y faire opposition. L'activité de son conseil s'est déployée du 6 mars au 17 septembre 2020, de sorte que, même si l'affaire n'était pas complexe, une activité totale de 8 heures n'apparait globalement pas disproportionnée. Une durée d'1h30 pour préparer l'audience d'instruction apparait raisonnable compte tenu du fait que la procédure concernait sept prévenus et contenait, ainsi, autant de procès-verbaux d'audition. Le nombre de courriers et courriels et leur durée n'apparaissent pas non plus inadéquats. Il en est de même des autres postes de la note d'honoraires. Un quart des frais de la procédure ont été mis à la charge du recourant, sans qu'il ne le conteste. Cependant les actes de procédure ordonnés par les autorités de poursuite pénale étaient en relation avec les accusations classées. En effet, le haschich n'a été trouvé que lors de la perquisition visant à découvrir si le recourant dissimulait chez lui les objets dérobés au plaignant. En outre, il a immédiatement reconnu la violation à la LStup et n'a pas été interrogé sur ce point lors de l'audience d'instruction. Ainsi, il apparaît que la totalité de ses frais de défense étaient liés aux infractions classées et doivent ainsi être indemnisés dans leur entier. Fondé, le recours doit être admis ; partant, le chiffre 7 de l'ordonnance querellée sera annulé et une indemnité de CHF 2'800.-, hors TVA, sera octroyée au recourant pour ses frais de défense en première instance.</w:t>
      </w:r>
    </w:p>
    <w:p>
      <w:r>
        <w:rPr>
          <w:b/>
        </w:rPr>
        <w:t>E. 3</w:t>
      </w:r>
    </w:p>
    <w:p>
      <w:r>
        <w:t>L'admission du recours ne donne pas lieu à la perception de frais (art. 428 al. 1 CPP).</w:t>
      </w:r>
    </w:p>
    <w:p>
      <w:r>
        <w:rPr>
          <w:b/>
        </w:rPr>
        <w:t>E. 4</w:t>
      </w:r>
    </w:p>
    <w:p>
      <w:r>
        <w:t>Le recourant, qui a obtenu gain de cause, a réclamé une indemnité pour ses frais de défense devant l'autorité de recours.</w:t>
      </w:r>
    </w:p>
    <w:p>
      <w:r>
        <w:rPr>
          <w:b/>
        </w:rPr>
        <w:t>E. 4.1</w:t>
      </w:r>
    </w:p>
    <w:p>
      <w:r>
        <w:t>En vertu de l'art. 436 al. 1 CPP, les prétentions en indemnité dans les procédures de recours sont régies par les art. 429 à 434 CPP. Comme vu précédemment, selon l'art. 429 al. 1 let. a CPP, le prévenu a droit à une indemnité pour les dépenses occasionnées par l'exercice raisonnable de ses droits de procédure, cette indemnisation visant les frais de la défense de choix (M. NIGGLI / M. HEER / H. WIPRÄCHTIGER, op.cit. ).</w:t>
      </w:r>
    </w:p>
    <w:p>
      <w:r>
        <w:rPr>
          <w:b/>
        </w:rPr>
        <w:t>E. 4.2</w:t>
      </w:r>
    </w:p>
    <w:p>
      <w:r>
        <w:t>La somme réclamée par le recourant, correspondant à 4h15 d'activité au tarif horaire de CHF 350.-, réplique comprise, apparait proportionnée et respecte le tarif appliqué par la Chambre de céans, de sorte qu'un montant de CHF 1'487.50 lui sera octroyé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