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P/4382/2015 vom 21. März 2016</w:t>
      </w:r>
    </w:p>
    <w:p>
      <w:r>
        <w:t>GE Cour de justice, 2016-03-21, FR</w:t>
      </w:r>
    </w:p>
    <w:p>
      <w:r>
        <w:rPr>
          <w:b/>
        </w:rPr>
        <w:t xml:space="preserve">Quelle: </w:t>
      </w:r>
      <w:r>
        <w:t>https://mcp.opencaselaw.ch/entscheid/ge_gerichte_P_4382_2015</w:t>
      </w:r>
    </w:p>
    <w:p>
      <w:r>
        <w:t>FR: GE_GERICHTE P/4382/2015 du 21 mars 2016</w:t>
      </w:r>
    </w:p>
    <w:p>
      <w:r>
        <w:t>IT: GE_GERICHTE P/4382/2015 del 21 marzo 2016</w:t>
      </w:r>
    </w:p>
    <w:p>
      <w:pPr>
        <w:pStyle w:val="Heading2"/>
      </w:pPr>
      <w:r>
        <w:t>Regeste</w:t>
      </w:r>
    </w:p>
    <w:p>
      <w:r>
        <w:t>IN DUBIO PRO REO; DÉTRESSE PROFONDE; LOI FÉDÉRALE SUR LES STUPÉFIANTS ET LES SUBSTANCES PSYCHOTROPES; FIXATION DE LA PEINE; INFRACTIONS CONTRE L'AUTORITÉ PUBLIQUE; ERREUR SUR LES FAITS(DROIT PÉNAL); SÉJOUR ILLÉGAL; DISPOSITIONS PÉNALES DE LA LETR; MINORITÉ(ÂGE); POUVOIR D'EXAMEN; D'OFFICE; DÉFENSE D'OFFICE; ASSISTANCE JUDICIAIRE | LStup.19.1; LEtr.115.1.b; CP.13; CP.48.a.2; CP.286.1; CPP.404.2; CPP.135.1; DPMin.3.2</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La CPAR limite son examen aux violations décrites dans l'acte d'appel (art. 404 al. 1 CPP), sauf en cas de décisions illégales ou inéquitables (art. 404 al. 2 CPP).</w:t>
      </w:r>
    </w:p>
    <w:p>
      <w:r>
        <w:rPr>
          <w:b/>
        </w:rPr>
        <w:t>E. 1.2</w:t>
      </w:r>
    </w:p>
    <w:p>
      <w:r>
        <w:t>L'appelant ne conteste pas sa culpabilité des infractions à la LEtr et à la LStup, sous réserve d'évocation de circonstances atténuantes qui seront examinées infra . Lesdites infractions sont réalisées au regard des éléments du dossier, de sorte que le jugement entrepris sera confirmé sur ces points.</w:t>
      </w:r>
    </w:p>
    <w:p>
      <w:r>
        <w:rPr>
          <w:b/>
        </w:rPr>
        <w:t>E. 2.1</w:t>
      </w:r>
    </w:p>
    <w:p>
      <w:r>
        <w:t>La présomption d'innocence, notamment garantie par les art. 32 al. 1 de la Constitution fédérale de la Confédération suisse, du 18 avril 1999 (Cst. ; RS 101) et 10 CPP, ainsi que son corollaire, le principe in dubio pro reo ,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p. 88 ;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arrêts du Tribunal fédéral 6B_563/2014 du 10 juillet 2015 consid. 1.1 ; 6B_101/2013 du 23 août 2013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 6B_623/2012 du 6 février 2013 consid. 2.1 ; 6B_642/2012 du 22 janvier 2013 consid. 1.1).</w:t>
      </w:r>
    </w:p>
    <w:p>
      <w:r>
        <w:rPr>
          <w:b/>
        </w:rPr>
        <w:t>E. 2.2</w:t>
      </w:r>
    </w:p>
    <w:p>
      <w:r>
        <w:t>L'art. 286 al. 1 CP prévoit que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L'art. 286 CP n'est pas applicable si ce n'est pas l'acte officiel qui est rendu plus difficile, mais seulement le résultat escompté (…) (ATF 104 IV 288 consid. 3b p. 291, ATF 103 IV 186 consid. 4/5 p. 188).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 vol. II, 3e éd., 2010, n. 13 ad art. 286 CP). L'infraction réprimée à l'art. 286 CP requiert l'intention ; le dol éventuel suffit.</w:t>
      </w:r>
    </w:p>
    <w:p>
      <w:r>
        <w:rPr>
          <w:b/>
        </w:rPr>
        <w:t>E. 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w:t>
      </w:r>
    </w:p>
    <w:p>
      <w:r>
        <w:rPr>
          <w:b/>
        </w:rPr>
        <w:t>E. 2.4</w:t>
      </w:r>
    </w:p>
    <w:p>
      <w:r>
        <w:t>L'argument soutenu par l'appelant qui dit avoir ignoré que les personnes habillées en civil qui s'approchaient de lui en vue de son interpellation appartenaient aux forces de l'ordre ne peut être suivi. Devant la police et le Ministère public, il n'a pas contesté les faits qui lui étaient reprochés, si ce n'est qu'il avait eu peur et qu'il n'avait pas entendu les injonctions de police, tout en admettant parallèlement avoir entendu le bruit de sirènes, ce qui tient du paradoxe. L'appelant, qui venait de vendre des stupéfiants dans un quartier particulièrement surveillé en raison du trafic de drogue qui s'y déploie, n'est pas crédible lorsqu'il indique ne pas avoir, non seulement compris qu'il s'agissait des forces de l'ordre, mais encore, entendu leurs sommations. Ses explications sont par ailleurs contredites par les affirmations des policiers, dont il n'y pas lieu de s'écarter. Il ressort de ce qui précède que l'intention de l'appelant, au demeurant en situation irrégulière, était de fuir les forces de l'ordre de sorte que le jugement de première instance sera confirmé dans la mesure où l'appelant a été reconnu coupable d'empêchement d'accomplir un acte officiel au sens de l'art. 286 al. 1 CP.</w:t>
      </w:r>
    </w:p>
    <w:p>
      <w:r>
        <w:rPr>
          <w:b/>
        </w:rPr>
        <w:t>E. 3</w:t>
      </w:r>
    </w:p>
    <w:p>
      <w:r>
        <w:t>décembre 2009 consid. 1.1 et les références citées).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 du Tribunal fédéral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3e édition, Zurich 2011, n. 555, p. 189).</w:t>
      </w:r>
    </w:p>
    <w:p>
      <w:r>
        <w:rPr>
          <w:b/>
        </w:rPr>
        <w:t>E. 3.1</w:t>
      </w:r>
    </w:p>
    <w:p>
      <w:r>
        <w:t>L'appelant admet s'être rendu coupable d'infraction à la LStup, soutenant toutefois avoir agi en état de nécessité, dans la mesure où, à cette époque, il était désespéré, qu'il faisait froid et ne disposait d'aucun logement ni d'aide.</w:t>
      </w:r>
    </w:p>
    <w:p>
      <w:r>
        <w:rPr>
          <w:b/>
        </w:rPr>
        <w:t>E. 3.2</w:t>
      </w:r>
    </w:p>
    <w:p>
      <w:r>
        <w:t>Selon l'art. 48 let.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let. a ch. 2 CP. De plus, le bénéfice de cette circonstance atténuante ne peut être accordé que si l'auteur a respecté une certaine proportionnalité entre les motifs qui le poussent et l'importance du bien qu'il lèse (arrêt du Tribunal fédéral 6B_13/2009 du 9 février 2009 consid. 4.1, avec référence à l'ATF 110 IV 9 consid. 2 p. 10). Compte tenu du bien juridique protégé par la LStup, soit la santé publique, ce n'est qu'en présence de circonstances tout à fait exceptionnelles que les difficultés financières rencontrées par un auteur peuvent être prises en considération (arrêt du Tribunal fédéral 6S.496/2006 du 19 juin 2007 consid. 3 in fine ).</w:t>
      </w:r>
    </w:p>
    <w:p>
      <w:r>
        <w:rPr>
          <w:b/>
        </w:rPr>
        <w:t>E. 3.3</w:t>
      </w:r>
    </w:p>
    <w:p>
      <w:r>
        <w:t>Certes, la situation de l'appelant était précaire au moment des faits, n'ayant pas de domicile ni de revenus fixes. Le fait de se livrer à un trafic de stupéfiants n'était toutefois pas la seule solution possible pour remédier à son état d'indigence. Il aurait pu interrompre son séjour en Suisse, dont il avait pu réaliser qu'il était sans issue depuis près de trois ans, soit depuis le refus de sa demande d'asile, et rentrer au Sénégal, ce qu'il n'a pas fait. Les motifs qui l'ont poussé à agir apparaissent de surcroît disproportionnés par rapport au bien juridique lésé, vu les effets des drogues dures sur la santé publique. Partant, les agissements de l'appelant n'ont pas été dictés par la circonstance atténuante dont il se prévaut.</w:t>
      </w:r>
    </w:p>
    <w:p>
      <w:r>
        <w:rPr>
          <w:b/>
        </w:rPr>
        <w:t>E. 4</w:t>
      </w:r>
    </w:p>
    <w:p>
      <w:r>
        <w:t>4.1. S'agissant de l'infraction à la LEtr, l'appelant soutient qu'elle est la conséquence de son mauvais encadrement par les autorités suisses alors qu'il était encore mineur. En application de l'art. 3 al. 2 ab initio de la loi fédérale régissant la condition pénale des mineurs du 20 juin 2003 (Droit pénal des mineurs, DPMin ; RS 311.1), lorsque plusieurs infractions commises avant et après l'âge de 18 ans doivent être jugées en même temps, le CP est seul applicable en ce qui concerne les peines.</w:t>
      </w:r>
    </w:p>
    <w:p>
      <w:r>
        <w:rPr>
          <w:b/>
        </w:rPr>
        <w:t>E. 4.2</w:t>
      </w:r>
    </w:p>
    <w:p>
      <w:r>
        <w:t>En l'espèce, l'affirmation de l'appelant n'est ni documentée ni pertinente. En effet, il n'existait aucun empêchement à son retour dans son pays d'origine, tels que risque sanitaire ou situation personnelle. L'appelant est donc le seul responsable de la situation créée et il n'allègue pas avoir entrepris de démarches en vue de son retour dans son pays d'origine, alors même qu'il se sait fixé sur son sort administratif depuis l'été 2013. Sa condamnation pour infraction à l'art. 115 al. 1 let. b LEtr sera partant confirmée.</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5.2</w:t>
      </w:r>
    </w:p>
    <w:p>
      <w:r>
        <w:t>En l'espèce, la faute de l'appelant n'est pas à sous-estimer. Il a fait preuve de mépris à l'égard des représentants des forces de l'ordre dont il avait tout à craindre de leur présence face à une vente de cocaïne en flagrant délit. Il a également persisté à enfreindre les dispositions de la LEtr sur une longue période pénale et a vendu ainsi que consommé des stupéfiants. Son comportement dénote une volonté délictuelle affirmée avec des mobiles purement égoïstes. Sa collaboration à la procédure a été moyenne. Il a en effet admis certains des faits qui lui étaient reprochés mais son mérite est limité s'agissant des interpellations en flagrant délit dont il pouvait difficilement contester les charges. La prise de conscience de l'appelant, partielle, doit être relativisée dans la mesure où il a manifesté sa volonté de rester en Suisse. L'appelant n'a pas d'antécédents, ce qui est toutefois un facteur neutre sur la fixation de la peine (ATF 136 IV 1 consid. 2.6.4 p. 3 et 4). La situation personnelle précaire de l'appelant n'est pas un facteur à décharge, dans la mesure où elle est la conséquence de son refus de quitter un pays où il séjourne illégalement et dans lequel il ne semble n'avoir aucune perspective, alors qu'il serait en mesure de retourner vivre au Sénégal. Il y a concours d'infractions, ce qui entraîne une aggravation de la peine.</w:t>
      </w:r>
    </w:p>
    <w:p>
      <w:r>
        <w:rPr>
          <w:b/>
        </w:rPr>
        <w:t>E. 5.3</w:t>
      </w:r>
    </w:p>
    <w:p>
      <w:r>
        <w:t>D'après la conception des nouvelles dispositions de la partie générale du code pénal, la peine pécuniaire constitue la sanction principale dans le domaine de la petite et moyenne criminalité (ATF 134 IV 97 consid. 4 p. 100 ss). La fixation de la peine intervient en deux phases différentes. Le tribunal détermine d'abord le nombre des jours-amende en fonction de la culpabilité de l'auteur (al. 1) en application de la règle générale de l'art. 47 CP.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ne se confond pas avec une simple amende (ATF 134 IV 1 consid. 5 et 6 p. 9 et 15 ; arrêt du Tribunal fédéral 6B_541/2007 du 13 mai 2008 consid. 5 et 6). Conformément à l'art. 34 CP, la peine pécuniaire ne peut, sauf disposition contraire de la loi, excéder 360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5.4</w:t>
      </w:r>
    </w:p>
    <w:p>
      <w:r>
        <w:t>Le juge suspend en règle générale l'exécution d'une peine pécuniaire lorsqu'une peine ferme ne paraît pas nécessaire pour détourner l'auteur d'autres crimes ou délits (art. 42 al. 1 CP). 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ATF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6B_187/2015 du 28 avril 2015 consid. 5.5 ; R. SCHNEIDER / R. GARRÉ, Basler Kommentar Strafrecht I , 3 e éd., Bâle 2013, n. 4 ad art. 44).</w:t>
      </w:r>
    </w:p>
    <w:p>
      <w:r>
        <w:rPr>
          <w:b/>
        </w:rPr>
        <w:t>E. 5.5</w:t>
      </w:r>
    </w:p>
    <w:p>
      <w:r>
        <w:t>L'art. 106 al. 3 CP prescrit au juge de fixer le montant de l'amende et la quotité de la peine privative de liberté de substitution en tenant compte de la situation de l'auteur, afin que la peine corresponde à la faute commise.</w:t>
      </w:r>
    </w:p>
    <w:p>
      <w:r>
        <w:rPr>
          <w:b/>
        </w:rPr>
        <w:t>E. 5.6</w:t>
      </w:r>
    </w:p>
    <w:p>
      <w:r>
        <w:t>Compte tenu de ce qui précède, la peine de 160 jours-amende prononcée par le premier juge est adéquate et conforme aux principes dégagés à l'art. 47 CP. Il s'ensuit que le grief de l'appelant selon lequel la sévérité de la peine infligée constituerait un abus du pouvoir d'appréciation est infondé. En revanche, il y a lieu de rectifier d'office, en application de l'art. 404 al. 2 CPP, une erreur commise par le premier juge. Il convient à ce titre de soustraire de la peine pécuniaire quatre jours de détention avant jugement en lien avec les interpellations des ___ mars et ___ mai 2015. Quant à la quotité des jours-amendes, fixée à CHF 30.- l'unité, elle tient compte correctement des ressources de l'appelant qu'il n'a pas voulu révéler mais qui lui permettent assurément, en plus d'aides qui peuvent lui être apportées, de financer son séjour en Suisse depuis bientôt trois ans. Le montant du jour-amende sera donc également confirmé. Le bénéfice du sursis, dont les conditions sont réalisées, est acquis à l'appelant (art. 391 al. 2 CPP). La durée du délai d'épreuve fixé à quatre ans ne prête pas flanc à la critique (art. 44 al. 1 CP), dès lors qu'elle paraît de nature à la dissuader de récidiver. L'amende de CHF 100.-, ainsi que la peine privative de liberté de substitution d'un jour seront maintenues, dans la mesure où elles respectent les critères légaux.</w:t>
      </w:r>
    </w:p>
    <w:p>
      <w:r>
        <w:rPr>
          <w:b/>
        </w:rPr>
        <w:t>E. 6</w:t>
      </w:r>
    </w:p>
    <w:p>
      <w:r>
        <w:t>L'appelant, qui succombe, supportera les frais de la procédure d'appel, qui comprennent un émolument de jugement de CHF 2'000.- (art. 428 CPP et 14 al. 1 let. e du Règlement fixant le tarif des frais en matière pénale, du 22 décembre 2010 [RTFMP ; E 4 10.03]), la modification du dispositif n'étant fondée que sur une erreur formelle du premier juge sans incidence sur la culpabilité de l'appelant.</w:t>
      </w:r>
    </w:p>
    <w:p>
      <w:r>
        <w:rPr>
          <w:b/>
        </w:rPr>
        <w:t>E. 7</w:t>
      </w:r>
    </w:p>
    <w:p>
      <w:r>
        <w:t>7.1.1.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La juridiction d'appel est ainsi compétente, au sens de l'art. 135 al. 2 CPP, pour statuer sur l'activité postérieure à sa saisine. 7.1.2.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au tarif de CHF 200.- (let. c) pour le chef d'étude. En cas d'assujettissement, l'équivalent de la TVA est versé en sus.</w:t>
      </w:r>
    </w:p>
    <w:p>
      <w:r>
        <w:rPr>
          <w:b/>
        </w:rPr>
        <w:t>E. 7.2</w:t>
      </w:r>
    </w:p>
    <w:p>
      <w:r>
        <w:t>En l'espèce, l'activité déployée selon l'état de frais produit par le défenseur d'office de l'appelant est adéquate et conforme aux principes dégagés par la jurisprudence, de sorte que l'indemnité de CHF 777.60, correspondant à trois heures d'activité au tarif de CHF 200.-/heure, additionnées de la majoration forfaitaire de 20% et l'équivalent de la TVA au taux de 8% [CHF 57.60], sera allouée à M e B______.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