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P/4377/2023 vom 11. August 2023</w:t>
      </w:r>
    </w:p>
    <w:p>
      <w:r>
        <w:t>GE Cour de justice, 2023-08-11, FR</w:t>
      </w:r>
    </w:p>
    <w:p>
      <w:r>
        <w:rPr>
          <w:b/>
        </w:rPr>
        <w:t xml:space="preserve">Quelle: </w:t>
      </w:r>
      <w:r>
        <w:t>https://mcp.opencaselaw.ch/entscheid/ge_gerichte_P_4377_2023</w:t>
      </w:r>
    </w:p>
    <w:p>
      <w:r>
        <w:t>FR: GE_GERICHTE P/4377/2023 du 11 août 2023</w:t>
      </w:r>
    </w:p>
    <w:p>
      <w:r>
        <w:t>IT: GE_GERICHTE P/4377/2023 del 11 agosto 2023</w:t>
      </w:r>
    </w:p>
    <w:p>
      <w:pPr>
        <w:pStyle w:val="Heading2"/>
      </w:pPr>
      <w:r>
        <w:t>Regeste</w:t>
      </w:r>
    </w:p>
    <w:p>
      <w:r>
        <w:t>DÉCISION D'IRRECEVABILITÉ;INFRACTIONS CONTRE L'ADMINISTRATION DE LA JUSTICE;DÉNONCIATION CALOMNIEUSE | CPP.310; CP.303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et les références citées).</w:t>
      </w:r>
    </w:p>
    <w:p>
      <w:r>
        <w:rPr>
          <w:b/>
        </w:rPr>
        <w:t>E. 3.2</w:t>
      </w:r>
    </w:p>
    <w:p>
      <w:r>
        <w:t>L'art. 303 al. 1 CP réprime notamment du chef de dénonciation calomnieuse quiconque dénonce à l'autorité, comme auteur d'un crime ou d'un délit, une personne qu'il sait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 innocent "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et les références citées).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3.3</w:t>
      </w:r>
    </w:p>
    <w:p>
      <w:r>
        <w:t>En l'espèce, le recourant a certes bénéficié d'une ordonnance de classement, confirmée par la Chambre de céans, des chefs d'infractions de calomnie et diffamation, mais rendue postérieurement au dépôt de la plainte de B______, de sorte qu'on ne saurait retenir que ce dernier a voulu dénoncer un innocent. Aucun élément au dossier ne permet de retenir qu'au moment du dépôt de ses plaintes, B______ avait l'intention de faire ouvrir injustement une procédure pénale contre lui. Il estimait n'avoir commis aucun comportement inadéquat alors qu'il était [au sein de l'établissement] D______, ce que les déclarations de E______, lors de l'audience du 16 mars 2021, avaient confirmé. On ne saurait ainsi retenir que le mis en cause avait délibérément porté une fausse accusation de calomnie voire de diffamation contre le recourant et partant de l'avoir dénoncé calomnieusement. Partant, l'ordonnance querellée ne prête pas le flanc à la critique.</w:t>
      </w:r>
    </w:p>
    <w:p>
      <w:r>
        <w:rPr>
          <w:b/>
        </w:rPr>
        <w:t>E. 4</w:t>
      </w:r>
    </w:p>
    <w:p>
      <w:r>
        <w:t>Justifiée, l'ordonnance querellée sera donc confirmée et le recours rejeté.![endif]&gt;![if&gt;</w:t>
      </w:r>
    </w:p>
    <w:p>
      <w:r>
        <w:rPr>
          <w:b/>
        </w:rPr>
        <w:t>E. 5</w:t>
      </w:r>
    </w:p>
    <w:p>
      <w:r>
        <w:t>Le recourant, qui succombe, supportera les frais envers l'État,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