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P/4312/2023 vom 7. November 2023</w:t>
      </w:r>
    </w:p>
    <w:p>
      <w:r>
        <w:t>GE Cour de justice, 2023-11-07, FR</w:t>
      </w:r>
    </w:p>
    <w:p>
      <w:r>
        <w:rPr>
          <w:b/>
        </w:rPr>
        <w:t xml:space="preserve">Quelle: </w:t>
      </w:r>
      <w:r>
        <w:t>https://mcp.opencaselaw.ch/entscheid/ge_gerichte_P_4312_2023</w:t>
      </w:r>
    </w:p>
    <w:p>
      <w:r>
        <w:t>FR: GE_GERICHTE P/4312/2023 du 7 novembre 2023</w:t>
      </w:r>
    </w:p>
    <w:p>
      <w:r>
        <w:t>IT: GE_GERICHTE P/4312/2023 del 7 novembre 2023</w:t>
      </w:r>
    </w:p>
    <w:p>
      <w:pPr>
        <w:pStyle w:val="Heading2"/>
      </w:pPr>
      <w:r>
        <w:t>Regeste</w:t>
      </w:r>
    </w:p>
    <w:p>
      <w:r>
        <w:t>ORDONNANCE DE NON-ENTRÉE EN MATIÈRE;DOMMAGES À LA PROPRIÉTÉ(DROIT PÉNAL) | CPP.310; CP.144</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fait grief au Ministère public de n'être pas entré en matière sur sa plainte. ![endif]&gt;![if&gt;</w:t>
      </w:r>
    </w:p>
    <w:p>
      <w:r>
        <w:rPr>
          <w:b/>
        </w:rPr>
        <w:t>E. 3.1</w:t>
      </w:r>
    </w:p>
    <w:p>
      <w:r>
        <w:t>Le ministère public rend immédiatement une ordonnance de non-entrée en matière s'il ressort de la dénonciation ou du rapport de police que les éléments constitutifs de l'infraction ou les conditions de l'ouverture de l'action pénale ne sont manifestement pas réunis (art. 310 al. 1 let. a CPP). ![endif]&gt;![if&gt; Au moment de statuer sur l'ouverture éventuelle de l'instruction, le ministère public doit ainsi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 ème éd., Bâle 2019 n. 8 ad art. 310). Une non-entrée en matière s'impose également lorsque le litige est de nature purement civile (ATF 137 IV 285 consid. 2.3; arrêt du Tribunal fédéral 1B_579/2012 du 2 septembre 2013 consid. 2.1).</w:t>
      </w:r>
    </w:p>
    <w:p>
      <w:r>
        <w:rPr>
          <w:b/>
        </w:rPr>
        <w:t>E. 3.2</w:t>
      </w:r>
    </w:p>
    <w:p>
      <w:r>
        <w:t>L'art. 144 al. 1 CP punit, sur plainte, quiconque endommage, détruit ou met hors d'usage une chose appartenant à autrui ou frappée d'un droit d'usage ou d'usufruit au bénéfice d'autrui.![endif]&gt;![if&gt;</w:t>
      </w:r>
    </w:p>
    <w:p>
      <w:r>
        <w:rPr>
          <w:b/>
        </w:rPr>
        <w:t>E. 3.3</w:t>
      </w:r>
    </w:p>
    <w:p>
      <w:r>
        <w:t>En l'espèce, le contrat qui liait le recourant et le mis en cause stipulait expressément que le bail portait notamment sur " divers aménagements sur les espaces loués, effectués par le locataire à ses risques et périls ". Une telle clause ne permet pas d'établir que le recourant se serait opposé à l'installation des constructions litigieuses, ni qu'il ignorait leur existence. Elle permet plutôt de conclure qu'il s'en serait accommodé, pour autant que le mis en cause en assume l'entière responsabilité. ![endif]&gt;![if&gt; Dès lors, il n'existe pas de prévention pénale suffisante de la réalisation de l'infraction visée à l'art. 144 CP et le litige, qui porte sur ces installations illicites, relève exclusivement des autorités civiles. Point n'est ainsi besoin d'examiner l'éventuelle tardiveté de la plainte, ni la prescription de l'action pénale.</w:t>
      </w:r>
    </w:p>
    <w:p>
      <w:r>
        <w:rPr>
          <w:b/>
        </w:rPr>
        <w:t>E. 4</w:t>
      </w:r>
    </w:p>
    <w:p>
      <w:r>
        <w:t>Justifiée, l'ordonnance querellée sera donc confirmée. ![endif]&gt;![if&gt;</w:t>
      </w:r>
    </w:p>
    <w:p>
      <w:r>
        <w:rPr>
          <w:b/>
        </w:rPr>
        <w:t>E. 5</w:t>
      </w:r>
    </w:p>
    <w:p>
      <w:r>
        <w:t>Le recourant, qui succombe, supportera les frais envers l'État, fixés en intégralité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