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P/4305/2020 vom 17. Februar 2023</w:t>
      </w:r>
    </w:p>
    <w:p>
      <w:r>
        <w:t>GE Cour de justice, 2023-02-17, FR</w:t>
      </w:r>
    </w:p>
    <w:p>
      <w:r>
        <w:rPr>
          <w:b/>
        </w:rPr>
        <w:t xml:space="preserve">Quelle: </w:t>
      </w:r>
      <w:r>
        <w:t>https://mcp.opencaselaw.ch/entscheid/ge_gerichte_P_4305_2020</w:t>
      </w:r>
    </w:p>
    <w:p>
      <w:r>
        <w:t>FR: GE_GERICHTE P/4305/2020 du 17 février 2023</w:t>
      </w:r>
    </w:p>
    <w:p>
      <w:r>
        <w:t>IT: GE_GERICHTE P/4305/2020 del 17 febbraio 2023</w:t>
      </w:r>
    </w:p>
    <w:p>
      <w:pPr>
        <w:pStyle w:val="Heading2"/>
      </w:pPr>
      <w:r>
        <w:t>Regeste</w:t>
      </w:r>
    </w:p>
    <w:p>
      <w:r>
        <w:t>CLASSEMENT DE LA PROCÉDURE;ABUS D'AUTORITÉ;POLICE;PROPORTIONNALITÉ | CPP.319; CP.125; CP.312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Il n'y a pas place pour des conclusions constatatoires là où, comme en l'espèce, des conclusions formatrices sont possibles (ATF 135 I 119 consid. 4 p. 122). Il n’y a donc pas à " constater " une violation de l'art. 3 CEDH et des autres normes invoquées par le recourant.![endif]&gt;![if&gt;</w:t>
      </w:r>
    </w:p>
    <w:p>
      <w:r>
        <w:rPr>
          <w:b/>
        </w:rPr>
        <w:t>E. 3</w:t>
      </w:r>
    </w:p>
    <w:p>
      <w:r>
        <w:t>Le recourant conteste le classement de sa plainte, à l'exception de l'infraction d'omission de prêter secours. ![endif]&gt;![if&gt;</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L'art. 125 CP réprime le comportement de celui qui, par négligence, aura fait subir à une personne une atteinte à l'intégrité corporelle ou à la santé. Elle suppose la réalisation de trois conditions: une négligence, une atteinte à l'intégrité physique et un lien de causalité naturelle et adéquate entre ces deux éléments.</w:t>
      </w:r>
    </w:p>
    <w:p>
      <w:r>
        <w:rPr>
          <w:b/>
        </w:rPr>
        <w:t>E. 3.3</w:t>
      </w:r>
    </w:p>
    <w:p>
      <w:r>
        <w:t>L'art. 144 al. 1 CP réprime – sur plainte préalable – l'infraction de dommages à la propriété, soit celui qui aura endommagé, détruit ou mis hors d'usage une chose appartenant à autrui ou frappé d'un droit d'usage ou d'usufruit au bénéfice d'autrui.</w:t>
      </w:r>
    </w:p>
    <w:p>
      <w:r>
        <w:rPr>
          <w:b/>
        </w:rPr>
        <w:t>E. 3.4</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p. 211 et b et les arrêts cités; arrêt du Tribunal fédéral 6B_1351/2017 du 18 avril 2018 consid. 4.2). 3.5.1.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p. 212). 3.5.2. Selon l'art. 45 de la loi sur la police du 9 septembre 2014 (F 1 05; LPol), la police exerce ses tâches dans le respect des droits fondamentaux et des principes de légalité, de proportionnalité et d'intérêt public (al. 1). En cas de troubles ou pour écarter des dangers menaçant directement la sécurité et l'ordre public, elle prend les mesures d'urgence indispensables (al. 2).</w:t>
      </w:r>
    </w:p>
    <w:p>
      <w:r>
        <w:rPr>
          <w:b/>
        </w:rPr>
        <w:t>E. 3.6</w:t>
      </w:r>
    </w:p>
    <w:p>
      <w:r>
        <w:t>En l'espèce, il n'est pas contesté que le recourant a été blessé au cours des événements du 23 janvier 2020, subissant notamment une fracture de l'humérus. Ce dernier allègue également que ses lunettes se seraient brisées à cette occasion. Le recourant estime que le prévenu serait l'auteur de ces atteintes, tandis que le Ministère public rejette ce constat, au motif qu'il ne peut pas être établi, et retient plutôt que l'intéressé se serait blessé en dévalant les escaliers. L'examen des éléments au dossier conduit à suivre partiellement l'appréciation du Ministère public. En effet, force est de constater que la version défendue par le recourant présente de nombreuses contradictions et incohérences. Tout d'abord, il a soutenu, dans sa plainte, que la fracture avait succédé à la clé de bras effectuée par le prévenu. Néanmoins, à teneur de l'attestation médicale, il n'a pas mentionné un tel geste au médecin pour expliquer ses lésions, lesquelles sont plutôt mises en relation avec une " réception sur le membre supérieur gauche ". De surcroît, par-devant le Ministère public, il a déclaré que, selon lui, la blessure était intervenue durant " la bousculade " et non lorsque son bras avait été tiré en arrière. Par ailleurs, l'ami présent au moment des faits a, dans un premier temps, déclaré que le prévenu n'avait pas tenu le bras du recourant, ni effectué de clé pour maîtriser ce dernier, avant de soutenir l'inverse lors de sa seconde audition. En outre, selon ses dires, le recourant était tantôt au sol, tantôt debout, au moment d'être " plaqué " à terre durant l'intervention des policiers, lesquels étaient " trois ou quatre ". À l'inverse, les déclarations du prévenu et de son collègue sur le déroulement des évènements sont restées constantes et complémentaires au fil de la procédure. Elles trouvent, de surcroît, écho avec leur description de l'incident dans le Journal de la police. Ainsi, le Ministère public n'a pas versé dans l'arbitraire en retenant que le prévenu était intervenu pour mettre un terme à l'altercation et qu'à cette fin, il avait saisi l'anse du sac à dos du recourant – qui était sur les genoux, comme l'intéressé l'a confirmé dans ses dernières déclarations – pour l'écarter de la mêlée, en le maintenant quelques instants avant de le relâcher. En revanche, le Ministère public ne saurait être suivi lorsqu'il considère que le recourant se serait blessé en dévalant les escaliers, dans la mesure où les différentes déclarations recueillies par les protagonistes n'ont pas permis d'établir si celui-ci a effectivement chuté dans les marches avec les deux autres individus impliqués dans l'empoignade. Cela étant, ce qui précède ne suffit pas à fonder une prévention pénale à l'encontre du prévenu.</w:t>
      </w:r>
    </w:p>
    <w:p>
      <w:r>
        <w:rPr>
          <w:b/>
        </w:rPr>
        <w:t>E. 3.7</w:t>
      </w:r>
    </w:p>
    <w:p>
      <w:r>
        <w:t>Le recourant est intervenu dans l'altercation initiale et a dit avoir été pris dans " le tourbillon " de la mêlée. Dans ce contexte, il a allégué avoir été bousculé et avoir atterri sur les mains, après l'épisode de l'escalier. Il en découle qu'il s'est retrouvé au sol avant l'arrivée de la police sur les lieux. Ainsi, dans la mesure où la fracture du bras découle vraisemblablement d'une " réception sur le membre supérieur gauche ", il est parfaitement possible que la blessure – et le bris des lunettes – soient étrangers à l'intervention policière. Par conséquent, on ne saurait admettre avec certitude que l'intervention du prévenu serait la cause des atteintes subies par le recourant. G______ a, certes, évoqué ensuite un violent placage de son ami par le prévenu, ce que ce dernier conteste. Or, il ressort du dossier que, sans connaître les origines de l'altercation et les protagonistes, les policiers se sont retrouvés face à trois personnes en train d'en découdre au sol. Pour y mettre un terme, le prévenu a allégué avoir saisi l'anse du sac à dos du recourant pour l'éloigner de la mêlée, sans faire un usage excessif de la force, ceci pour protéger tant l'intéressé que les deux autres personnes impliquées, ce que son collègue a confirmé. Les déclarations des protagonistes sont ainsi contradictoires et le témoignage de G______ sujet à caution, vu ses liens d'amitié avec le recourant. Dès lors, on peine à voir un quelconque lien de causalité entre lesdites lésions et l'intervention policière, ce qui permet d'exclure les infractions visées aux art. 123 et 125 CP. L'attitude du prévenu, consistant à séparer les protagonistes et à écarter le recourant de la mêlée, apparaît en outre justifiée et proportionnée aux circonstances. En conséquence, les conditions pour un abus d'autorité ne sont également pas remplies. Compte tenu de ce qui précède, c'est à bon droit que le Ministère public a classé la procédure.</w:t>
      </w:r>
    </w:p>
    <w:p>
      <w:r>
        <w:rPr>
          <w:b/>
        </w:rPr>
        <w:t>E. 4</w:t>
      </w:r>
    </w:p>
    <w:p>
      <w:r>
        <w:t>Justifiée, l'ordonnance querellée sera donc confirmée. ![endif]&gt;![if&gt;</w:t>
      </w:r>
    </w:p>
    <w:p>
      <w:r>
        <w:rPr>
          <w:b/>
        </w:rPr>
        <w:t>E. 5</w:t>
      </w:r>
    </w:p>
    <w:p>
      <w:r>
        <w:t>Le recourant, déjà au bénéfice de l'assistance judiciaire gratuite, sera exemptée des frais de la procédure (art. 136 al. 2 let. b CPP).![endif]&gt;![if&gt;</w:t>
      </w:r>
    </w:p>
    <w:p>
      <w:r>
        <w:rPr>
          <w:b/>
        </w:rPr>
        <w:t>E. 6</w:t>
      </w:r>
    </w:p>
    <w:p>
      <w:r>
        <w:t>La procédure étant terminée (art. 135 al. 2 cum 138 CPP), il convient de rétribuer le conseil juridique gratuit pour son activité en deuxième instance. ![endif]&gt;![if&gt;</w:t>
      </w:r>
    </w:p>
    <w:p>
      <w:r>
        <w:rPr>
          <w:b/>
        </w:rPr>
        <w:t>E. 6.1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l'occurrence, le conseil du recourant sollicite une indemnité de CHF 1'200.-, correspondant à six heures d'activité pour une cheffe d'étude. Cette durée apparaît excessive pour la rédaction d'un recours de huit pages (page de garde et conclusions incluses et une entière consacrée inutilement à l'octroi de l'assistance judiciaire pour la procédure de recours), auquel il faut ajouter trois pages d'observations. L'indemnité allouée sera ainsi ramenée à CHF 861.60.-, correspondant à quatre heures d'activité pour l'ensemble des écritures, au tarif horaire de CHF 200.-, TVA à 7.7% incluse.</w:t>
      </w:r>
    </w:p>
    <w:p>
      <w:r>
        <w:rPr>
          <w:b/>
        </w:rPr>
        <w:t>E. 7</w:t>
      </w:r>
    </w:p>
    <w:p>
      <w:r>
        <w:t>L'intimé, prévenu, qui obtient gain de cause, doit être indemnisé pour les frais encourus par le dépôt d'observations (art. 429 al. 1 let. a CPP).![endif]&gt;![if&gt;</w:t>
      </w:r>
    </w:p>
    <w:p>
      <w:r>
        <w:rPr>
          <w:b/>
        </w:rPr>
        <w:t>E. 7.1</w:t>
      </w:r>
    </w:p>
    <w:p>
      <w:r>
        <w:t>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ACPR/232/2023 du 29 mars 2023 consid. 7.1).</w:t>
      </w:r>
    </w:p>
    <w:p>
      <w:r>
        <w:rPr>
          <w:b/>
        </w:rPr>
        <w:t>E. 7.2</w:t>
      </w:r>
    </w:p>
    <w:p>
      <w:r>
        <w:t>En l'espèce, l'intimé conclut au versement d'une indemnité de CHF 1'453.95 TTC, correspondant à 4 heures 30 d'activité pour un collaborateur, au tarif horaire de CHF 300.-, qui se décompose par: 1h pour la prise de connaissance du recours, 0h30 pour des discussions entre client et avocat, 1h30 pour la " reprise du dossier pénal " et 1h30 pour la rédaction des observations d'à peine trois pages. Ce temps parait excessif, d'autant plus que son conseil est déjà intervenu devant l'autorité précédente et que le dossier lui était donc connu. L'indemnité sera ramenée à CHF 646.20 (TVA à 7.7% incluse), correspondant à deux heures d'activité au total, au tarif demandé de CHF 300.- de l'heure. Cette indemnité sera laissée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