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P/4302/2012 vom 2. März 2017</w:t>
      </w:r>
    </w:p>
    <w:p>
      <w:r>
        <w:t>GE Cour de justice, 2017-03-02, FR</w:t>
      </w:r>
    </w:p>
    <w:p>
      <w:r>
        <w:rPr>
          <w:b/>
        </w:rPr>
        <w:t xml:space="preserve">Quelle: </w:t>
      </w:r>
      <w:r>
        <w:t>https://mcp.opencaselaw.ch/entscheid/ge_gerichte_P_4302_2012</w:t>
      </w:r>
    </w:p>
    <w:p>
      <w:r>
        <w:t>FR: GE_GERICHTE P/4302/2012 du 2 mars 2017</w:t>
      </w:r>
    </w:p>
    <w:p>
      <w:r>
        <w:t>IT: GE_GERICHTE P/4302/2012 del 2 marzo 2017</w:t>
      </w:r>
    </w:p>
    <w:p>
      <w:pPr>
        <w:pStyle w:val="Heading2"/>
      </w:pPr>
      <w:r>
        <w:t>Regeste</w:t>
      </w:r>
    </w:p>
    <w:p>
      <w:r>
        <w:t>CP146; CP138.1.2; CP252; CP255; CP47; CP69; CPP10.2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2 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Afin de déterminer quel moyen de preuve doit être administré, le juge dispose d'un pouvoir d'appréciation (arrêt du Tribunal fédéral 6B_484 2012 du 11 décembre 2012 consid. 1.2 et les références).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références ; arrêt du Tribunal fédéral 6B_157/2015 du 21 mars 2016 consid. 2.1.). Quel que soit le stade de la procédure, il n'y a pas lieu d'administrer des preuves sur des faits non pertinents, notoires, connus de l'autorité pénale ou déjà suffisamment prouvés (art. 139 al. 2 CPP ; cf. art. 29 al. 2 de la Constitution fédérale de la Confédération suisse du 18 avril 1999 [Cst. – RS 101] et l'arrêt du Tribunal fédéral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2.1.3. L'audition requise par l'appelante n'est pas de nature à modifier le résultat des preuves administrées, le témoin ayant déjà été auditionné à deux reprises, en 2012 et 2015, dont la seconde fois de manière contradictoire, soit en présence du défenseur de l'appelante, qui a pu poser ses questions, sans compter que les faits datent à présent de plus de cinq ans. Bien que l'audition du témoin ne parût pas indispensable, la CPAR l'avait néanmoins ordonnée, estimant qu'elle était de nature à éclaircir certains faits. Convoqué par le biais d'un mandat de comparution intégralement traduit en langue albanaise, qui mentionnait qu'il serait assisté d'un interprète et avait droit au remboursement de ses frais de déplacement, le témoin n'y a pas donné suite, sans être excusé, n'ayant pas non plus déféré aux convocations antérieures du Ministère public. De prime abord, les déclarations du témoin semblaient en effet empreintes d'une légère confusion, qui s'avère finalement découler, pour l'essentiel, de sa piètre maîtrise de l'allemand, et qui peut s'expliquer par le fait qu'il a été entendu sans l'assistance d'un interprète. Nonobstant, il est constant que le témoin explique, en discours indirect, que "AS______", qu'il a identifiée sur planche photographique comme la prévenue, n'avait pas fait que de le tromper lui (" Sie hat nicht nur mich betrogen" ), mais aussi un (autre) albanais, prénommé "D______", qu'elle avait délesté, lui semblait-t-il, de CHF 500'000.-, étant précisé que c'était bien la femme qui lui avait dit cela (" Der hat mir diese selber gesagt , soit probablement plutôt Das hat sie mir selber gesagt ). Le témoin s'exprime encore dans un allemand malheureux lorsqu'il dit " Er sagte, dass sein Sohn im Gefängnis sei ", puisqu'il affirme ensuite que c'est bien de la bouche de la prévenue qu'il tient ces informations (" Das sagte uns diese Frau "). Par conséquent, le témoin ne dit pas qu'il a rencontré la partie plaignante ou qu'il lui a parlé, mais raconte ce que la prévenue lui a relaté, ce que les premiers juges ont d'ailleurs parfaitement saisi. La requête d'audition doit ainsi être rejetée. 2.2.1.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Toutefois,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Une coresponsabilité de la dupe n'exclut l'astuce que dans des cas exceptionnels (ATF 135 IV 76 consid. 5.2. ; arrêts du Tribunal fédéral 6B_139/2016 du 21 novembre 2016 consid. 3.1 et 3.2, 6B_99/2015 du 27 novembre 2015 consid. 3.3). 2.2.2.1. L'art. 138 al. 1 CP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 Lorsqu'une personne reçoit des espèces, soit des valeurs mobilières, qui ne sont pas entrées dans sa propriété par mélange, c'est l'art. 138 ch. 1 al. 1 CP qui s'applique (ATF 105 IV 29 consid. 2 ; ATF 81 IV 228 consid. 2b ; arrêt du Tribunal fédéral 6S.500/2005 du 24 mars 2006 consid. 4.1 ; M. NIGGLI / H. WIPRÄCHTIGER, Basler Kommentar Strafrecht II : Art. 111-392 StGB , 3 e éd., Bâle 2013, n. 11 ad art. 138 et n. 46 ad art. 147). 2.2.2.2.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 du Tribunal fédéral 6B_507/2015 du 25 février 2016 consid. 1). Du point de vue subjectif, l'auteur doit avoir agi intentionnellement et dans un dessein d'enrichissement illégitime ou de procurer à un tiers un enrichissement illégitime, qui peut être réalisé par dol éventuel (ATF 133 IV 21 consid. 6.1.2 p. 27 et les références ; ATF 118 IV 27 consid. 2a p. 34 ; arrêt du Tribunal fédéral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2.2.2.3. Une chose obtenue par l'auteur à la faveur d'une tromperie ne lui est en règle générale pas confiée au sens de l'art. 138 ch. 1 al. 2 CP. En revanche, il en va différemment lorsque cette tromperie a précisément eu pour but que la victime confie ce bien à l'auteur (ATF 133 IV 21 consid. 6.2 p. 29, ATF 117 IV 429 consid. 3c p. 436 = JdT 1993 IV 173). Cette question doit être examinée indépendamment de l'infraction d'escroquerie, respectivement de l'existence d'une astuce (M. NIGGLI / H. WIPRÄCHTIGER, op. cit., n. 209 ab initio ad art. 138). Ainsi, peu importe que le contrat à la base de la remise de la chose soit nul ou annulable (ATF 92 IV 174 consid. 2 p. 176 ; ATF 86 IV 160 consid. 4a p. 165 s.). Il n'est pas nécessaire que l'engagement pris par l'auteur de faire un usage déterminé des valeurs patrimoniales confiées ait donné naissance à une obligation valable en droit, peu importe que l'acte juridique fondant le rapport de confiance et les engagements de l'auteur soient entachés de vices de volonté, notamment pour cause de dol (ATF 133 IV 21 consid. 6.2 p. 28 et les références ; arrêt du Tribunal fédéral 6B_91/2007 consid. 6.1). Même si cette jurisprudence est critiquée en doctrine, il n'y a en tout cas pas lieu de s'en écarter lorsque la validité du contrat passé entre l'auteur et le lésé est compromise par un vice du consentement chez ce dernier, par exemple lorsque l'auteur a usé de manœuvres frauduleuses pour se faire remettre par le lésé le pouvoir de disposer de la valeur patrimoniale (arrêt du Tribunal fédéral 6B_91/2007 du 8 juillet 2007 consid. 6.1 et les références). 2.2.3. En l'espèce, il est établi que D______ a contracté un abonnement de téléphonie mobile le 20 mai 2011 pour le numéro 2______ en faveur de la prévenue, dont aucun élément tangible ne permet de douter qu'elle en a été l'utilisatrice entre le 13 juillet et 7 septembre 2011, bien qu'elle le conteste. Les rétroactifs confirment que ce numéro a été en contact à d'innombrables reprises avec le raccordement utilisé par la belle-fille de la partie plaignante, en particulier aux dates des remises d'argent alléguées, lors desquelles les antennes activées se sont de surcroît révélées compatibles avec les lieux de rencontres décrits dans la plainte (L______, J______, K______), à des heures conciliables avec les événements dénoncés. Les rétroactifs ne s'étendent pas à la transaction du 6 septembre 2010, mais l'adresse du chemin H______, qui avait été communiquée à la partie plaignante dans un SMS du même jour, concorde avec les éléments évoqués dans la plainte. Fort de ce qui précède, il est établi que les parties se sont rencontrées les 6 septembre 2010, 24 août 2011, 2 et 6 septembre 2011 aux endroits indiqués de manière constante par l'intimé. Les déclarations de la partie plaignante, qui se sont vues dans l'ensemble confirmées par des éléments factuels, jouissent d'une plus grande crédibilité que celles de l'appelante. L'intimé a d'emblée indiqué avoir rencontré l'appelante à T______, au chemin AH______, chez la famille " AI______ ", jusqu'à fin août 2010, ensuite au chemin H______, au I______, puis à P______. Or, cette dernière indication s'est révélée correspondre au domicile du témoin D______, dont ni l'identité, ni même l'existence ne ressortaient de la plainte, seules les investigations policières les ayant ultérieurement révélées, grâce au raccordement par lequel l'intimé disait être contacté. De plus, le témoin S______ a confirmé avoir rencontré les parties début 2010 à T______, la belle-fille de l'intimé ayant également évoqué une rencontre chez les " AI______ ". La fréquence et la familiarité des SMS échangés entre l'appelante et la belle-fille de l'intimé corroborent les déclarations de cette dernière selon lesquelles elle entretenait des contacts étroits et réguliers avec la première. Au vu du contexte, il n'est pas surprenant que ces messages ne contiennent pas, dans les limites des quelques extraits traduits en audience, de référence explicite à des sommes d'argent, l'appelante préférant sans doute fixer des rendez-vous et ne laisser aucune trace écrite de ses agissements. A cet égard, il n'est pas non plus déterminant que le plaignant n'ait pas été en mesure de fournir de reçu signé par l'appelante, d'autant que l'inverse eût été maladroit de la part d'une personne opérant illicitement. L'intimé a été constant dans le décompte des sommes qu'il a données à l'appelante. Il a produit deux quittances en lien avec des fonds empruntés le 29 août 2011, pour un total de CHF 180'000.-, soit quelques jours avant la transaction du 2 septembre 2011 portant sur une somme identique. Il semble toutefois avoir des souvenirs assez imprécis et variables des circonstances des transactions litigieuses, hésitant sur la présence de sa belle-fille et/ou de son épouse, sur son moyen de transport, ou encore sur l'implication de son beau-fils. Il en va de même de l'absence de reçus de paiement justifiée par des motifs culturels, quand bien même les récépissés qu'il a produits en lien avec les fonds empruntés à des tiers au Kosovo sont signés, ou en raison du mauvais temps, tandis que sa belle-fille affirme que la remise des CHF 180'000.- s'est déroulée par une belle journée. Ces fluctuations, qui peuvent s'expliquer par l'écoulement du temps, mais aussi par le caractère rapproché de trois de ces transactions, ne sont pas déterminantes, en regard des autres éléments du dossier, notamment les déclarations de sa belle-fille, qui a confirmé le détail des montants transmis à l'appelante. Alors même que celles-ci doivent être analysées avec une certaine prudence compte tenu du lien familial, il y a précisément lieu de constater qu'elles divergent de celles du beau-père sur des points de détails, par exemple au sujet des CHF 420'000.- que l'intimé aurait transportés dans sa poche ou dans une enveloppe. Or, de petites imprécisions renforcent d'autant leur crédibilité, à l'inverse d'un discours qui aurait été calqué et répété. A ces éléments s'ajoute le témoignage de D______, qui a fait des déclarations globalement crédibles, riches de détails corroborés par l'instruction, tels que la date de naissance de l'appelante, sa grossesse, son permis de séjour, ses nombreux allers-retours au Kosovo ou encore son compagnon "AT______" conduisant une grosse cylindrée de marque AD______. Il a décrit une femme qu'il connaissait sous l'identité de "AS______", soit un prénom orthographié similairement à celui du SMS de l'appelante à G______ (" X______ "). En substance, il a brossé le portrait d'une personne manipulatrice et menaçante, qui lui a réclamé de grosses sommes d'argent à réitérées reprises, sous un prétexte fantaisiste (guérir sa famille), soit un modus operandi en tous points analogues à celui de la présente cause. Le récit empreint de peur de AR______ abonde également dans ce sens. Lors de sa seconde audition, D______ a intégralement confirmé la teneur de ses déclarations, nuançant, certes, quelque peu le propos selon lequel il ne connaissait pas cet autre "D______", dont la prévenue lui avait parlé, tout en maintenant ses précédentes explications, de sorte que cette hésitation ne remet pas en cause son récit initial. Le versement d'un solde de CHF 10'000.- à AR______ par G______, à la demande de l'appelante, laisse supposer que les protagonistes ont peut-être été en contact à un moment donné, sans que cela n'invalide le témoignage de l'intéressée, qui accable l'appelante et dont le contenu est confirmé par d'autres éléments du dossier. En revanche, les déclarations de l'appelante ne jouissent d'aucune crédibilité. Même si elle a, dans un premier temps, admis avoir eu quelques échanges avec l'intimé ou sa belle-fille, elle a finalement nié tout contact avec ces derniers, motif pris de son séjour en Norvège à l'époque des faits. Or, ces dénégations ne résistent pas à l'examen. La présence de l'appelante en Suisse à cette période ne fait aucun doute, celle-ci découlant, outre des rétroactifs, de l'attestation médicale des HUG. Les autorités norvégiennes ont par ailleurs confirmé son arrivée dans le pays en octobre 2011. Même confrontée à ces éléments tangibles, la prévenue a persisté à réfuter les contacts avec S______ ou s'être déplacée en Suisse-allemande. En outre, de nombreuses contradictions ressortent de ses déclarations. Ainsi, elle a raconté avoir rencontré l'intimé par l'intermédiaire d'un dénommé " AO______ ", qu'elle a d'abord qualifié d'ouvrier, puis de chef de la partie plaignante. Au cours d'une même audition, elle a successivement affirmé que l'intimé l'avait contactée car il voulait débloquer des fonds saisis en Suisse, ou vendre des actions pour faire sortir son fils de prison, ou, encore, pour honorer les dettes contractées par ce dernier. Devant le Ministère public, elle a confirmé que l'intimé cherchait à vendre ses titres, avant de soutenir, face aux premiers juges, que l'intimé tentait en fait d'obtenir de l'argent de la part d'une assurance en Suisse, afin notamment de payer un avocat pour son fils. Au vu de ce qui précède, la CPAR retient que l'intimé a remis, en plusieurs fois, des sommes d'argent considérables en mains de l'appelante, dans l'unique but que celle-ci les reverse à des tiers qui obtiendraient ainsi la libération de son fils, dont la détention n'est pas contestée par les parties. Il y bien a eu tromperie. La prévenue a menti, selon un procédé visiblement bien rôdé consistant notamment à ne laisser aucune trace écrite de ses affirmations fallacieuses. Elle a usé d'artifices dans le but précis de convaincre l'intimé à lui remettre de l'argent, qui lui a ainsi été confié, afin de régler la caution ou, à tout le moins, d'obtenir la libération de son fils. Les éléments nécessaires pour retenir l'astuce font cependant défaut, pour les raisons qui suivent. L'appelante n'a pas employé de faux documents, ni n'a fait participer des tiers. Par ailleurs, les faits ne portaient pas sur une opération courante, encore moins de faible valeur. Faute de pouvoir s'enquérir des véritables intentions de l'appelante, des précautions d'usage s'imposaient à l'intimé. Bien qu'on puisse concevoir que celui-ci, peu familier du système juridique suisse, fût pris de désarroi, sa situation personnelle ne l'empêchait en effet pas de procéder à des vérifications élémentaires, telles que se renseigner sur les origines de son interlocutrice, jusque-là illustre inconnue, ou son parcours professionnel, glaner des informations en lien avec le magistrat prétendument en charge du dossier ou, encore, consulter l'avocat de son fils. Faut-il rappeler qu'initialement, l'intimé était entré en contact avec l'appelante afin qu'elle "guérisse" sa nièce, et qu'elle a subitement annoncé travailler pour la police genevoise, puis zurichoise, après qu'il lui eut dit que son fils était incarcéré. Il n'est pas crédible qu'une simple injonction de l'appelante eût suffi à dissuader l'intimé de contacter un homme de loi, si, comme il le prétend, la détention déplorée l'affectait à ce point, démarche qu'il a de surcroît su mener à bien afin de déposer plainte. Certes, l'intimé a fait confiance à l'appelante, qui a exploité ce lien. Il reste que ce ne sont pas moins de quatre versements qui ont eu lieu sur une période de douze mois, sans que le résultat escompté ne survienne, les rencontres ayant de surcroît eu lieu à Genève, nonobstant une incarcération en terres zurichoises. Il s'agit là d'autant d'indices qui auraient dû inciter l'intimé à douter des affirmations de l'appelante et à exiger des garanties, si ce n'est d'emblée, au moins au fil des mois. Un minimum d'attention lui aurait évité de tomber dans ce piège, de sorte que l'astuce n'est pas réalisée. Partant, c'est à tort que les premiers juges ont retenu la qualification d'escroquerie. 2.2.4. En revanche, le comportement de la prévenue, tel que développé dans le considérant qui précède, tombe pleinement sous le coup de l'art. 138 ch. 1 al. 2, qualification juridique retenue à titre subsidiaire dans l'acte d'accusation. L'appelante a agi intentionnellement, dans un dessein d'enrichissement illégitime manifeste. Elle a causé un dommage à l'intimé, qui n'a pas revu la couleur de ses deniers. Elle s'est par conséquent rendue coupable d'abus de confiance. Il s'ensuit que le jugement querellé sera modifié sur ce point.</w:t>
      </w:r>
    </w:p>
    <w:p>
      <w:r>
        <w:rPr>
          <w:b/>
        </w:rPr>
        <w:t>E. 3</w:t>
      </w:r>
    </w:p>
    <w:p>
      <w:r>
        <w:t>3.1.1. L'art. 252 CP, applicable aux titres étrangers en vertu de l'art. 255 CP, prévoit que celui qui, dans le dessein d'améliorer sa situation ou celle d'autrui, aura, notamment, contrefait ou falsifié des pièces de légitimation, des certificats ou des attestations, ou aura fait usage, pour tromper autrui, d'un écrit de cette nature, sera puni d'une peine privative de liberté de trois ans au plus ou d'une peine pécuniaire. 3.1.2. L'infraction protège, en tant que bien juridique, d'une part la confiance particulière placée dans un titre ayant valeur probante dans les rapports juridiques et, d'autre part, la loyauté dans les relations commerciales (ATF 142 IV 119 consid. 2.2 p. 121 s. ; ATF 138 IV 130 consid. 2.1 p. 134 ; ATF 132 IV 12 consid. 8.1 p. 14). Il s'agit d'un délit de mise en danger abstraite (ATF 97 IV 206 consid. 2).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(ATF 117 IV 170 consid. 2c p. 176 = JdT 1993 IV 152), la carte d'identité, ainsi que l'autorisation de séjour ou le permis d'établissement (arrêt du Tribunal fédéral 6B_619/2012 du 18 décembre 2012 consid. 1.2.1 et les références). Le comportement punissable peut notamment consister en la contrefaçon, la falsification ou l'usage (d'un certificat faux ou falsifié), l'usage de faux s'appliquant subsidiairement (arrêt du Tribunal fédéral 6B_619/2012 du 18 décembre 2012 consid. 1.2.1 et les références). Il y a falsification lorsqu'une personne modifie un certificat authentique de manière à ce qu'il atteste une information contraire à la vérité (B. CORBOZ, Les infractions en droit suisse , vol. II, 3 ème éd. 2010, n. 11 p. 274). L'infraction est intentionnelle. En outre, l'auteur doit agir dans le dessein d'améliorer sa situation ou celle d'autrui. Ce dessein est réalisé, notamment lorsque l'auteur veut se faciliter la vie (ATF 111 IV 24 consid. 1b p. 26). Interprété de façon tellement large, il vise pratiquement toutes les situations, à moins que l'auteur n'ait agi sans but raisonnable ou pour nuire à autrui (ATF 98 IV 55 = JdT 1972 I 484 ; arrêts du Tribunal fédéral 6B_319/2015 du 22 décembre 2015 consid. 5.1 ; 6B_619/2012 du 18 décembre 2012 consid. 1.2.1 et les références). Tel est en particulier le cas d'une personne recherchée qui voudrait se faciliter le passage de la frontière ou dissimuler son identité réelle en cas de contrôle de police (hypothèse inspirée de l'ATF 117 IV 175 ; B. CORBOZ, Les infractions en droit suisse , vol. II, 3 ème éd. 2010, n. 17 p. 275). 3.1.3. A l'époque des faits, le refus d'entrée sur le territoire des Etats membres était réglementé par le Règlement (CE) N° 562/2006 du Parlement européen et du Conseil du 15 mars 2006 établissant un code communautaire relatif au régime de franchissement des frontières par les personnes (code frontières Schengen), notamment l'art. 13 et l'Annexe V, dont la substance est presque identique à l'art. 14 (et à l'Annexe V) du Règlement (UE) 2016/399 du Parlement européen et du Conseil du 9 mars 2016 concernant un code de l’Union relatif au régime de franchissement des frontières par les personnes (code frontières Schengen), actuellement en vigueur. Les gardes-frontières veillent à ce qu’un ressortissant de pays tiers ayant fait l’objet d’une décision de refus d’entrée ne pénètre pas sur le territoire de l’Etat membre concerné (art. 13 al. 4). En cas de refus d'entrée, le garde-frontière compétent remplit, notamment, le " formulaire uniforme de refus d'entrée à la frontière " (Annexe V partie B), appose sur le passeport un cachet d’entrée, procède à l’annulation du visa et consigne tout refus d’entrée sur un registre ou une liste (art. 1 let. a à d Annexe V partie A). Si le ressortissant de pays tiers frappé d’une décision de refus d’entrée a été acheminé à la frontière par un transporteur, l’autorité localement responsable, en attendant le réacheminement, prend les mesures appropriées afin d’éviter l’entrée illégale du ressortissant (art. 3 let. a et b Annexe V partie A). 3.1.4. Le Système d'information Schengen (SIS) est un système dans lequel peuvent être signalées notamment les personnes qui sont sous le coup d'une interdiction d'entrée. Les services suisses habilités y ont accès. L'entrée en vigueur de l'accord d'association à Schengen (AAS) le 12 décembre 2008 s'est accompagnée de la suppression des contrôles des personnes aux frontières et, de ce fait, de la mise en place d'une forme de coopération à tous les niveaux opérationnels dans les domaines de l'asile (Dublin) et des visas (visas Schengen). Le SIS a pour objectif de multiplier par voie électronique les données de recherches nationales et de les mettre à la disposition de tous les Etats membres, la recherche lancée dans le SIS par une autorité de police dans un Etat Schengen pouvant être immédiatement consultée par tous les Etats Schengen (https://www.fedpol.admin.ch/fedpol/fr/home/polizei-zusammenarbeit/international/schengen/sis.html [10.02.2017]). 3.1.5 . En l'espèce, les éléments constitutifs du faux dans les certificats sont réalisés. Objectivement, le passeport est une pièce de légitimation qui sert non seulement à établir l'identité d'une personne, mais également à renseigner les autorités sur d'autres faits qui la concernent, tels que l'obtention de visas ou une interdiction d'entrée dans un Etat membre. Or, selon les rapports de la BPTS et de la police zurichoise, l'appelante a falsifié son passeport, délivré par un Etat tiers, et l'a présenté aux douaniers comme pièce de légitimation, en vue de pénétrer dans l'espace Schengen. Sur le plan subjectif, elle a agi avec conscience et volonté, comme cela ressort de ses déclarations. L'usage de cette pièce falsifiée a amélioré sa situation, dans la mesure où gratter des timbres officiels, fussent-ils étrangers, relatifs à des refus d'entrée dans des Etats Schengen était de nature à tromper le corps des gardes-frontières suisses sur sa situation économique, à lui éviter ainsi de se voir signifier, cas échéant, une nouvelle interdiction d'entrée, respectivement à faciliter son entrée dans le pays, quand bien même les citoyens serbes, Etat tiers, n'ont pas d'obligation de visa pour des séjours inférieurs à 90 jours. Au demeurant, les autorités suisses jouissaient d'une prérogative à ce que l'ensemble des données concernant l'intéressée soient exactes, au même titre que les autres Etats membres, ce qui constitue l'essence même d'un échange d'informations centralisé. Le verdict de culpabilité doit être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Selon l'art. 43 CP, le juge peut suspendre partiellement l'exécution d'une peine pécuniaire, d'un travail d'intérêt général ou d'une peine privative de liberté d'un an au moins et de trois ans au plus afin de tenir compte de façon appropriée de la faute de l'auteur (al. 1).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(ATF 134 IV 1 consid. 5.3.1 p. 10). 4.2.1. L'abus de confiance, au même titre que l'escroquerie, est passible d'une peine privative de liberté de cinq ans au plus ou d'une peine pécuniaire (art. 138 al. 1 ch. 2 CP et art. 146 al. 1 CP). 4.2.2. Bien que l'appelante attaque le jugement dans son ensemble, elle n'émet pas de critique spécifique sur la peine qui lui a été infligée. Sa faute est importante. Elle a choisi une proie vulnérable et en plein désarroi, saisissant l'opportunité d'abuser de la détresse d'un père déterminé à voir son fils remis en liberté. Elle a exploité la confiance d'un homme et a menti sans vergogne pendant douze mois, détournant à son profit les sommes conséquentes qui lui étaient confiées à d'autres fins. Les mobiles, purement égoïstes, relèvent de l'appât d'un gain facile, sans considération aucune pour la situation patrimoniale de la victime. Sa situation personnelle n'explique pas ses actes, d'autant qu'elle déclare travailler. La collaboration de l'appelante a été inexistante, celle-ci s'enfermant dans les dénégations, même confrontée aux éléments objectifs. Il n'y pas l'ombre d'une prise de conscience, l'appelante n'ayant formulé aucun regret, ni présenté d'excuses. L'absence d'antécédents a un effet neutre sur la peine (ATF 136 IV 1 consid. 2.6). En revanche, il y a concours d'infractions, ce qui justifie d'augmenter la peine de l'infraction la plus grave dans une juste proportion (art. 49 al. 1 CP). Aucune des circonstances atténuantes prévues à l'art. 48 CP n'est réalisée, ni d'ailleurs plaidée. Au regard de l'ensemble de ces circonstances, une peine privative de liberté de 30 mois est adéquate et tient judicieusement compte de l'ensemble des éléments qui précèdent, de sorte qu'il convient de la confirmer. 4.2.3. Cette quotité exclut l'octroi du sursis complet, tandis que le sursis partiel est acquis dans son principe à l'appelante (art. 391 al. 2 CPP). La partie à exécuter de la peine, arrêtée par les premiers juges au minimum légal, soit six mois, est adéquate et appropriée, l'appelante n'ayant pas de condamnations antérieures. Il convient de confirmer le jugement querellé sur ce point.</w:t>
      </w:r>
    </w:p>
    <w:p>
      <w:r>
        <w:rPr>
          <w:b/>
        </w:rPr>
        <w:t>E. 5</w:t>
      </w:r>
    </w:p>
    <w:p>
      <w:r>
        <w:t>Vu l'issue de la procédure, la confiscation et la restitution aux autorités serbes compétentes du passeport N° 1______ établi au nom de A______ seront confirmées (art. 69 CP).</w:t>
      </w:r>
    </w:p>
    <w:p>
      <w:r>
        <w:rPr>
          <w:b/>
        </w:rPr>
        <w:t>E. 6</w:t>
      </w:r>
    </w:p>
    <w:p>
      <w:r>
        <w:t>2. L'appelante sera déboutée de ses prétentions en indemnisation (art. 429 al. 1 let. c CPP a contrario ).</w:t>
      </w:r>
    </w:p>
    <w:p>
      <w:r>
        <w:rPr>
          <w:b/>
        </w:rPr>
        <w:t>E. 6.1</w:t>
      </w:r>
    </w:p>
    <w:p>
      <w:r>
        <w:t>. L'appelante, qui succombe entièrement dans ses conclusions, supportera les frais de la procédure envers l'Etat, comprenant un émolument de jugement de CHF 3'000.- (art. 428 al. 1 CPP et art. 14 let. e du règlement fixant le tarif des frais en matière pénale du 22 décembre 2010 [RTFMP – E 4 10.03]). En regard du verdict de culpabilité, il n'y a pas lieu de revoir la répartition des frais de première instance (art. 428 al. 3 CPP).</w:t>
      </w:r>
    </w:p>
    <w:p>
      <w:r>
        <w:rPr>
          <w:b/>
        </w:rPr>
        <w:t>E. 7</w:t>
      </w:r>
    </w:p>
    <w:p>
      <w:r>
        <w:t>7.1.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 telles la rédaction de courriers ou notes, les entretiens téléphoniques et la lecture de communications, pièces et prise de connaissance de décisions. Un montant forfaitaire par vacation (aller-retour) est alloué pour le temps de déplacement de l'avocat, considéré comme nécessaire pour la défense d'office, arrêté, vu notamment l'exiguïté du territoire cantonal, au tarif de CHF 50.- pour les chefs d'étude.</w:t>
      </w:r>
    </w:p>
    <w:p>
      <w:r>
        <w:rPr>
          <w:b/>
        </w:rPr>
        <w:t>E. 7.2</w:t>
      </w:r>
    </w:p>
    <w:p>
      <w:r>
        <w:t>Considérée globalement, l'activité exercée par M e B______ pour la défense des intérêts de A______ dans le cadre de la procédure d'appel est en adéquation avec la nature, l'importance et la difficulté de la cause. En conclusion, l'indemnité sera fixée à CHF 2'494.80, comprenant les frais de déplacement relatifs à la consultation du dossier et à l'audience d'appel, la majoration forfaitaire de 10% (CHF 210.-), compte tenu de l'activité déjà indemnisée en première instance, et l'équivalent de la TVA au taux de 8% (CHF 184.80).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