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P/4296/2012 vom 26. Oktober 2016</w:t>
      </w:r>
    </w:p>
    <w:p>
      <w:r>
        <w:t>GE Cour de justice, 2016-10-26, FR</w:t>
      </w:r>
    </w:p>
    <w:p>
      <w:r>
        <w:rPr>
          <w:b/>
        </w:rPr>
        <w:t xml:space="preserve">Quelle: </w:t>
      </w:r>
      <w:r>
        <w:t>https://mcp.opencaselaw.ch/entscheid/ge_gerichte_P_4296_2012</w:t>
      </w:r>
    </w:p>
    <w:p>
      <w:r>
        <w:t>FR: GE_GERICHTE P/4296/2012 du 26 octobre 2016</w:t>
      </w:r>
    </w:p>
    <w:p>
      <w:r>
        <w:t>IT: GE_GERICHTE P/4296/2012 del 26 ottobre 2016</w:t>
      </w:r>
    </w:p>
    <w:p>
      <w:pPr>
        <w:pStyle w:val="Heading2"/>
      </w:pPr>
      <w:r>
        <w:t>Regeste</w:t>
      </w:r>
    </w:p>
    <w:p>
      <w:r>
        <w:t>INJURE; HONNEUR; FIXATION DE LA PEINE; APPRÉCIATION DES PREUVES; AUDITION DE L'ENFANT; EXPERTISE DE CRÉDIBILITÉ; PRINCIPE DE L'ACCUSATION; DÉLAI; PRESCRIPTION; TORT MORAL; CLASSEMENT DE LA PROCÉDURE; FRAIS JUDICIAIRES; DÉPENS; INDEMNITÉ(EN GÉNÉRAL) | CPP.10.2; CPP.9.1; CPP.325.1.f; CPP.426.1; CPP.428.3; CPP.433.1; CPP.433.2; CPP.429.1.a; CPP.429.1.c; CPP.426; CP.177.1; CP.178; CP.47; CP.31; CO.47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Il n'y a pas lieu de revenir sur l'infraction à l'art. 126 CP, qui a été classée et n'est plus litigieuse en appel.</w:t>
      </w:r>
    </w:p>
    <w:p>
      <w:r>
        <w:rPr>
          <w:b/>
        </w:rPr>
        <w:t>E. 2</w:t>
      </w:r>
    </w:p>
    <w:p>
      <w:r>
        <w:t>2.1.1. 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doit, dans l'évaluation globale de l'ensemble des éléments probatoires,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(ATF 129 IV 179 consid. 2.4 p. 184). 2.1.2.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(arrêts du Tribunal fédéral 6B_936/2010 du 28 juin 2011 consid. 4.3.2 et 6B_929/2008 du 5 mars 2009 consid. 2.1). En tant que telles, les déclarations d'un enfant sont donc susceptibles de constituer un élément sur lequel le juge peut, notamment, se fonder dans le cadre de son appréciation des preuves (arrêt du Tribunal fédéral 6B_285/2011 du 14 décembre 2011 consid. 2.3.1). L'expertise de crédibilité s'impose surtout lorsqu'il s'agit des déclarations d'un petit enfant qui sont fragmentaires ou difficilement interprétables, lorsqu'il existe des indices sérieux de troubles psychiques ou lorsque des éléments concrets font penser que la personne interrogée a été influencée (ATF 129 IV 179 consid. 2.4 p. 184). 2.1.3. À l'instar des autres moyens de preuve, le juge apprécie librement la force probante de l'expertise. Il ne peut toutefois s'écarter des conclusions de l'expert, sous peine de violer l'art. 9 de la Constitution fédérale de la Confédération suisse du 18 avril 1999 (Cst. – RS 101), qu'en exposant les motifs déterminants et les circonstances bien établies qui lui commandent d'agir de la sorte, notamment si des motifs suffisants ou de sérieux indices lui font douter de l'exactitude de l'expertise (ATF 138 III 193 consid. 4.3.1 p. 198 s. ; 129 I 49 consid. 4 p. 57 ; 128 I 81 consid. 2 p. 86 ; 118 Ia 144 consid. 1c p. 146 ; arrêt du Tribunal fédéral 6B_210/2015 du 22 juin 2015 consid. 2.1.4). 2.2.1. En vertu de la maxime d'accusation et des principes posés aux art. 29 al. 2 et 32 al. 2 Cst., ainsi qu'aux art. 6 § 1 et 3 let. a et b de la Convention de sauvegarde des droits de l'homme et des libertés fondamentales du 4 novembre 1950 (CEDH – RS 0.101) et désormais à l'art. 9 al. 1 CPP, l'acte d'accusation détermine l'objet de la procédure devant le Tribunal. L'accusation doit exposer les infractions retenues à charge du prévenu de telle manière à ce que les soupçons soient suffisamment concrétisés d'un point de vue objectif et subjectif. De même, le principe d'accusation vise la protection des droits de la défense de la personne accusée et garantit le droit d'être entendu (ATF 133 IV 235 consid. 6.2 s. = JdT 2007 IV 119 ; ATF 126 I 19 consid. 2a = JdT 2000 I 504). À teneur de l'art. 325 al. 1 let. f CPP, l'acte d'accusation désigne, le plus brièvement possible, mais avec précision, les actes reprochés au prévenu, le lieu, la date et l'heure de leur commission ainsi que leurs conséquences et le mode de procéder de l'auteur (ATF 141 IV 132 consid. 3.4.1 = JdT 2015 IV 258). L'exposé doit permettre au prévenu de connaître exactement tous les faits qui lui sont reprochés et leur désignation précise (L. MOREILLON / A. PAREIN-REYMOND, CPP - Petit commentaire , 2 ème éd., Bâle 2016, n. 4 ad art. 325). 2.2.2.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2.3.1. En l'espèce, l'intimé a déposé plainte en qualité de représentant légal de sa fille et entendait poursuivre un ensemble de comportements imputés à son épouse. Il lui reprochait notamment d'avoir " continuellement " insulté sa fille, certes à partir du milieu de l'année 2011 déjà, tout en précisant qu'ils avaient entrepris de divorcer en janvier 2012 et qu'un épisode violent avait eu lieu le 9 mars suivant, ce qui laisse penser que les comportements injurieux ont perduré au moins jusqu'à cette date, vu la mésentente du couple. Ainsi, l'intimé n'a pas voulu restreindre sa plainte à une seule scène, encore moins à des événements qui se seraient déroulés en 2011, mais entendait faire toute la lumière sur les agissements délictueux de sa femme, le dernier en date remontant à quelques jours seulement avant le dépôt de plainte, de sorte que celle-ci n'est pas tardive. L'appel sera rejeté sur ce point. 2.3.2. Il est vrai que l'acte d'accusation fait état d'une date indéterminée s'agissant des insultes prononcées par l'appelante. Outre le fait que celle-ci ne s'en est pas plainte en première instance, il faut retenir que la mention, dans l'acte d'accusation, des termes " espèce de syphilis ", ainsi que l'exposé des circonstances liées à l'épisode du 9 mars 2012 étaient assez clairs pour permettre à la prévenue de connaître tous les faits qui lui étaient reprochés et ainsi préparer adéquatement sa défense, d'autant qu'il était mentionné que, selon la partie plaignante, cette insulte était proférée de façon continuelle et qu'il s'agissait d'événements intrinsèquement liés à l' imbroglio familial. L'appel sera rejeté sur ce point également. 2.4.1. Se rend coupable d'injures celui qui aura, par la parole, l'écriture, l'image, le geste ou par des voies de fait, attaqué autrui dans son honneur (art. 177 al. 1 CP). Les art. 173 ss CP protègent la réputation d'être une personne honorable, soit de se comporter comme une personne digne a coutume de le faire selon les conceptions généralement reçues. Il faut que l'atteinte fasse apparaître la personne visée comme méprisable (ATF 114 IV 14 consid. 2a p. 15 et les arrêts cités). L'honneur protégé par le droit pénal est conçu comme un droit au respect, qui est lésé par toute assertion propre à exposer la personne visée au mépris en sa qualité d'être humain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l'injure consiste en des jugements de valeur, adressé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6B_557/2013 du 12 septembre 2013 consid. 1.1 ; 6B_333/2008 du 9 mars 2009 consid. 1.3 ; ATF 71 IV 187 consid. 2 p. 188). Traiter quelqu'un de " mongol " constitue par exemple un jugement de valeur injurieux (RJN 1980/81 p. 112), au même titre que dire à une femme que "s on sexe sent mauvais " est attentatoire à l'honneur ( AARP/289/2016 du 20 juillet consid. 2.6.1.). Du point de vue subjectif, il suffit que l'auteur ait eu conscience du caractère attentatoire à l'honneur de ses propos et qu'il les ait proférés néanmoins ; il n'est pas nécessaire qu'il ait eu la volonté de blesser la personne visée (ATF 119 IV 44 consid. 2a). 2.4.2. L'art. 178 CP prévoit que pour les délits contre l'honneur, l'action pénale se prescrit par quatre ans. Les délits d'atteinte à l'honneur sont des délits instantanés (ATF 93 IV 93 consid. 2 = JdT 1968 IV 26). En cas d'infractions répétées à l'encontre de la même victime, la prescription court pour chacune des infractions dès le jour de sa commission (ATF 119 IV 199 consid. 2). 2.4.3. En l'espèce, les déclarations de E______ ont été jugées crédibles et cohérentes par l'expert, malgré quelques points discutables. L'enfant n'avait pas exagéré ses propos, ni cherché à accabler outre mesure l'appelante. Aucun élément tangible ne permet en outre de mettre en doute les conclusions de l'expertise, menée selon les règles de l'art. Selon les propos de l'enfant, l'appelante l'insultait depuis deux mois environ, soit dès janvier 2012. Cette date coïncide avec le début de la procédure de divorce, que E______ a d'emblée mentionnée lorsque la policière lui a demandé de tout lui raconter "depuis le début". Le délai de prescription de l'action pénale n'est dès lors pas échu pour les insultes proférées à partir de cette époque. E______ a exposé que sa belle-mère l'avait traitée à réitérées reprises de " syphilis ", " charognard ", " calembert ", " pute " et " batard ". Elle lui avait également dit qu'elle avait " fait des avortements ", que " sa chatte coul [ait]" et qu'elle avait " couché " avec plusieurs garçons. L'intimé a été témoin de la plupart des injures proférées, dont il a confirmé la teneur. Il ne fait aucun doute pour la CPAR que les termes " d'espèce de syphilis " constituent des jugements de valeur objectivement propres à attenter à l'honneur, qui plus est d'une jeune fille âgée d'une douzaine d'années au moment des faits. En effet, la syphilis est une infection sexuellement transmissible et contagieuse, due à une bactérie. L'appelante n'a pu qu'agir avec volonté, en choisissant de tels mots pour dévaloriser sa belle-fille. Peu importe que l'appelante se soit adressée directement à l'enfant ou à son père. Les dénégations de l'appelante à ces égards n'emportent pas conviction, d'autant qu'elle a admis avoir traité l'intéressée de " syphilis ", avant de nuancer quelque peu son propos. Compte tenu du climat familial, il n'est pas déterminant que E______ n'ait pas su retracer la chronologie exacte des insultes, distillées quasiment quotidiennement. L'ensemble des éléments suffit à retenir la culpabilité de l'appelante du chef d'injures au sens de l'art. 177 al. 1 CP. Le verdict de culpabilité sera partant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faute de l'appelante n'est pas anodine. Elle s'en est prise à l'intégrité psychique de sa belle-fille. Elle a fait porter, sur une mineure, des soupçons d'une conduite contraire aux mœurs, laissant entendre que celle-ci entretenait des relations sexuelles et avait contracté une maladie dans ce contexte et qu'elle souffrait aussi d'un manque d'hygiène, alors qu'elle savait que E______ avait perdu sa mère et devait s'intégrer dans un pays qu'elle ne connaissait pas, au sein d'une famille recomposée. En proie à des difficultés de couple, il ne fait certes aucun doute que les insultes proférées par l'appelante l'ont été dans un contexte douloureux, dont les enfants auraient toutefois dû être préservés. La perspective d'une rupture ne saurait en aucun cas justifier les agissements de l'appelante. Sa collaboration doit être qualifiée de moyenne, dans la mesure où, après avoir admis pour l'essentiel les faits, elle s'est partiellement rétractée, tout en cherchant à justifier ses actes par le comportement de son mari ou l'état de santé de sa belle-fille. Elle a varié dans ses déclarations, ce qui dénote l'absence de prise de conscience de la gravité de ses agissements. Elle n'a pas exprimé de véritables regrets ni présenté ses excuses. L'absence d'antécédents judiciaires a un effet neutre sur la peine (ATF 136 IV 1 consid. 2.6.). L'art. 177 al. 2 CP n'est, à juste titre, pas plaidé. En condamnant l'appelante à une peine pécuniaire de 20 jours-amende, le premier juge a adéquatement tenu compte de sa faute et de ses circonstances personnelles. Le montant du jour-amende, arrêté à CHF 30.-, est adapté au regard de sa situation économique et doit par conséquent être confirmé. Le principe du sursis, dont les conditions sont au demeurant réalisées, lui est acquis (art. 391 al. 2 CPP).</w:t>
      </w:r>
    </w:p>
    <w:p>
      <w:r>
        <w:rPr>
          <w:b/>
        </w:rPr>
        <w:t>E. 4.1</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 arrêt du Tribunal fédéral 6B_1066/2014 du 27 février 2014 consid. 6.1.2). Le juge proportionne le montant à la gravité de l'atteinte subie et évite que la somme accordée n'apparaisse dérisoire à la victime (ATF 125 III 269 consid. 2a ; ATF 118 II 410 consid. 2 ; arrêt du Tribunal fédéral 6S.470/2002 du 5 mai 2003 consid. 2.1). Statuant selon les règles du droit et de l'équité (art. 4 du Code civil suisse du 10 décembre 1907 [CC – RS 210]), le juge dispose d'un large pouvoir d'appréciation (ATF 132 II 117 consid. 2.2.3 in limine ; arrêt du Tribunal fédéral 6B_188/2010 du 4 octobre 2010 consid. 5.1.1).</w:t>
      </w:r>
    </w:p>
    <w:p>
      <w:r>
        <w:rPr>
          <w:b/>
        </w:rPr>
        <w:t>E. 4.2</w:t>
      </w:r>
    </w:p>
    <w:p>
      <w:r>
        <w:t>En l'espèce, le principe d'une indemnité pour tort moral doit être admis, l'atteinte à l'intégrité psychique de la mineure étant objectivement grave vu la nature des injures proférées à réitérées reprises, qui plus est au sein du domicile familial, censé être un lieu de paix et d'épanouissement. Les insultes ont eu d'autant plus d'impact qu'elles s'adressaient à une jeune fille ayant vécu des événements dramatiques. La perte de l'estime de soi qu'elle a subie n'en sera que plus difficile à restaurer. Cela étant, il n'apparaît heureusement pas que l'enfant présente des atteintes durables à sa santé psychique, étant précisé que l'intimé n'a donné aucune indication quant à la nature ou à la durée du soutien psychologique dont sa fille aurait bénéficié dans le cadre scolaire. Une somme de CHF 500.- tient adéquatement compte de toutes ces circonstances, de sorte que le jugement sera confirmé, partiellement par substitution de motifs.</w:t>
      </w:r>
    </w:p>
    <w:p>
      <w:r>
        <w:rPr>
          <w:b/>
        </w:rPr>
        <w:t>E. 5</w:t>
      </w:r>
    </w:p>
    <w:p>
      <w:r>
        <w:t>5.1.1. En principe, le prévenu supporte les frais de la procédure s'il est condamné, la CPAR étant tenue de revoir ceux-ci lorsqu'elle rend une nouvelle décision (art. 426 al. 1 et art. 428 al. 3 CPP). En cas de classement partiel, les frais doivent être attribués au condamné proportionnellement, dans la mesure des infractions pour lesquelles il est reconnu coupable ; une certaine marge d'appréciation doit être laissée à l'autorité (arrêt du Tribunal fédéral 6B_753/2013 du 17 février 2014 consid. 3.1). 5.1.2. Vu le classement partiel prononcé en première instance, il y a lieu de revoir la répartition des frais opérée par le Tribunal de police et, ainsi, condamner la prévenue à la moitié des frais de procédure de première instance, le solde étant laissé à la charge de l'État. L'appelante, qui succombe en appel tant sur le verdict de culpabilité que sur l'allocation d'une indemnité pour tort moral, supportera les frais de la procédure envers l'État, qui comprennent un émolument de CHF 2'000.- (art. 428 CPP et art. 14 al. 1 let. e du Règlement fixant le tarif des frais en matière pénale du 22 décembre 2010 [RTFMP – E 4 10.03]). 5.2.1. L'art. 433 al. 1 CPP permet à la partie plaignante de demander au prévenu une juste indemnité pour les dépenses obligatoires occasionnées par la procédure lorsqu'elle obtient gain de cause (let. a). La partie plaignante adresse ses prétentions à l'autorité pénale et doit les chiffrer et les justifier (art. 433 al. 2 CPP). La partie plaignante obtient gain de cause au sens de cette disposition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et adéquats pour faire valoir le point de vue de la partie plaignante raisonnable, à l'exclusion de toutes démarches inutiles ou superflues (arrêts du Tribunal fédéral 6B_495/2014 du 6 octobre 2014 consid. 2.1. ; 6B_965/2013 du 3 décembre 2013 consid. 3.1.1 ; 6B_159/2012 du 22 juin 2012 consid. 2.2 ; A. KUHN / Y. JEANNERET (éds), Commentaire romand : Code de procédure pénale suisse , Bâle 2011, n. 8 ad art. 433 ; N. SCHMID, op. cit ., n. 3 ad art. 433). 5.2.2. En l'espèce, la partie plaignante ayant obtenu gain de cause en appel, le principe de l'indemnisation de ses frais d'avocat pour la procédure de première instance et d'appel lui est acquis. Pour la première instance, C______ articulait un montant de CHF 28'674.- que le premier juge a ramené à CHF 27'216.- pour tenir compte de la durée réduite de l'audience par-devant lui. Cette somme est démesurée. En effet, il ressort du relevé d'activité que près de 10h00 ont été nécessaires à la consultation et à l'étude du dossier, qui n'est pas particulièrement complexe, ni volumineux. De plus, la note d'honoraires contient des nombreux postes déraisonnables, dont 03h00 consacrés à la réception de trois ordonnances (classement partiel, sur opposition et ordonnance pénale), 01h30 pour la lecture de quatre lettres des autorités et 08h00 pour 16 courriers adressés au Ministère public, ainsi que 02h00 dédiées à des réquisitions de preuves. En outre, il y a lieu de tenir compte de ce qu'une grande partie des faits dénoncés par l'intimé ont été classés par le Ministère public, et qu'il a succombé sur les infractions de lésions corporelles simples et de contrainte plaidées en première instance. Par ailleurs, les 08h00 consacrées aux audiences par-devant le Ministère public seront ramenées à 06h00, pour tenir compte de leur durée effective. Au vu des considérations qui précèdent, l'indemnité pour la première instance sera arrêtée, ex aequo et bono , à CHF 5'832.-, TVA à 8% incluse (CHF 432.-), ce qui correspond à 12h00 de travail au tarif horaire calculé par l'avocat, lequel est au surplus conforme à la jurisprudence de la Cour de justice. L'appel sera partiellement admis sur ce point. L'indemnité sollicitée pour la procédure d'appel, CHF 4'860.-, TVA à 8% comprise, est excessive. À ce stade de la procédure, il est en effet attendu du conseil une connaissance suffisante de son dossier, de sorte que le temps supplémentaire passé à l'étudier ne justifie pas une nouvelle indemnisation. Vu le mémoire de réponse, les 04h00 consacrées à sa rédaction seront ramenées à 02h00. En outre, deux entretiens clients n'apparaissaient pas nécessaires, compte tenu du retrait de l'appel joint. Par conséquent, l'indemnité due par l'appelante à l'intimé pour la procédure d'appel sera arrêtée à CHF 1'458.-, TVA à 8% incluse (CHF 108.-), équivalent à 03h00 de travail au tarif susmentionné. 5.3.1. La question de l'indemnisation du prévenu (art. 429 CPP) doit être traitée en relation avec celle des frais (art. 426 CPP). Si l'État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6B_187/2015 du 28 avril 2015 consid. 6.1.2 et 6B_300/2012 du 10 juin 2013 consid. 2.4). 5.3.2. L'art. 429 al. 1 CPP prévoit que le prévenu, acquitté totalement ou en partie, ou qui bénéficie d'une ordonnance de classement, a droit à une indemnité pour les dépenses occasionnées par l'exercice raisonnable de ses droits de procédure (let. a), ainsi qu'à une réparation du tort moral subi en raison d'une atteinte particulièrement grave à sa personnalité, notamment en cas de privation de liberté (let. c). L'indemnité visée par la let. a concerne les dépenses du prévenu pour un avocat de choix (ATF 138 IV 205 consid. 1 et 2 p. 206). 5.3.3. En l'espèce, le principe d'une indemnisation de ses frais de défense en première instance est acquis à l'appelante, en raison du classement partiel dont elle a bénéficié, pour la période précédant l'octroi de l'assistance juridique. Les postes de la note d'honoraires afférente à la période allant jusqu'au 27 janvier 2014, déposée en première instance, correspondent à une activité nécessaire et justifiée, facturée au taux horaire de CHF 400.-, étant précisé que l'amplification des conclusions survenue en appel est dénuée de fondement. Il se justifie dès lors de lui accorder une indemnité dans la mesure de sa condamnation aux frais, soit à hauteur de la moitié de la somme sollicitée. Partant, un montant de CHF 2'023.93, arrondi à CHF 2'024.-, TVA et débours compris, lui sera alloué à ce titre. Compte tenu de la confirmation du verdict de culpabilité et de la peine prononcée, qui dépasse la détention préventive subie, les prétentions en indemnisation formulées par l'appelante sont infondées et doivent être rejetées, sans préjudice du fait qu'elle n'a pas formellement contesté sa condamnation aux frais de première instance (art. 51 CP, art. 429 al. 1 let. c CPP a contrario ).</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6.1.3.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6.1.4. L'activité qui n'est pas nécessaire à la défense devant les autorités cantonales n'est pas couverte par l'assistance juridique ; ainsi, en va-t-il en principe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 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 6.2.1. À la lecture des postes de l'état de frais produit par M e B______, défenseur d'office de l'appelante, il apparaît que doivent en être retranchées 60 minutes consacrées à un entretien post arrêt de la CPAR, tâche non couverte par l'assistance juridique cantonale et, au demeurant, incluse dans le forfait pour l'activité diverse, ainsi qu'une heure sur les cinq consacrées à la rédaction du mémoire d'appel pour tenir compte du développement portant sur l'appel joint, sur lequel il n'y avait pas lieu de se déterminer à ce stade. Au surplus, l'activité exercée dans le cadre de la présente procédure est en adéquation avec la nature, l'importance et la difficulté de la cause. Par conséquent, l'état de frais est admis, sous réserve des modifications qui précèdent, à concurrence de 08h00 au tarif de CHF 200.-/heure. 6.2.2. L'indemnisation requise sera ainsi accordée à hauteur de CHF 2'073.60, comprenant le forfait pour l'activité diverse à 20%, soit CHF 320.-, compte tenu de l'activité déployée jusqu'en appel pour moins de 30 heures, TVA à 8% comprise, soit CHF 153.60.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