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P/4259/2014 vom 14. April 2016</w:t>
      </w:r>
    </w:p>
    <w:p>
      <w:r>
        <w:t>GE Cour de justice, 2016-04-14, FR</w:t>
      </w:r>
    </w:p>
    <w:p>
      <w:r>
        <w:rPr>
          <w:b/>
        </w:rPr>
        <w:t xml:space="preserve">Quelle: </w:t>
      </w:r>
      <w:r>
        <w:t>https://mcp.opencaselaw.ch/entscheid/ge_gerichte_P_4259_2014</w:t>
      </w:r>
    </w:p>
    <w:p>
      <w:r>
        <w:t>FR: GE_GERICHTE P/4259/2014 du 14 avril 2016</w:t>
      </w:r>
    </w:p>
    <w:p>
      <w:r>
        <w:t>IT: GE_GERICHTE P/4259/2014 del 14 aprile 2016</w:t>
      </w:r>
    </w:p>
    <w:p>
      <w:pPr>
        <w:pStyle w:val="Heading2"/>
      </w:pPr>
      <w:r>
        <w:t>Regeste</w:t>
      </w:r>
    </w:p>
    <w:p>
      <w:r>
        <w:t>VIOLENCE CONTRE LES AUTORITÉS; FIXATION DE LA PEINE; REPENTIR SINCÈRE; SURSIS À L'EXÉCUTION DE LA PEINE; PEINE PRIVATIVE DE LIBERTÉ; TRAITEMENT AMBULATOIRE; ALCOOLISME ; DÉFENSE D'OFFICE ; INDEMNITÉ(EN GÉNÉRAL) | CP 123.1 ; CP 285.1 ; CP 48.d ; CP 49 ; CP 63 ; LCR 90.1 ; LCR 91.2 ; LCR 95.1 ; LStup 19a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l'espèce, l'appel ne porte que sur un volet de la culpabilité, ainsi que sur la peine. Dans la mesure où elle n'est plus remise en cause, la partie du verdict de culpabilité qui n'est pas contestée sera confirmée, dès lors qu'elle est conforme aux éléments du dossier et consacre une correcte application du droit.</w:t>
      </w:r>
    </w:p>
    <w:p>
      <w:r>
        <w:rPr>
          <w:b/>
        </w:rPr>
        <w:t>E. 2.1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ATF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2.2</w:t>
      </w:r>
    </w:p>
    <w:p>
      <w:r>
        <w:t>L'appelant conteste avoir tenté de s'emparer de l'arme de l'appointé C______ et remet ainsi partiellement en cause le complexe de fait fondant sa culpabilité pour violence ou menace contre les autorités et les fonctionnaires (art. 285 ch. 1 CP). L'appelant s'est abstenu, durant la procédure, de s'opposer formellement à ce que ce fait lui soit imputé, pour une seule raison : il ne se souvient pratiquement pas du déroulement de l'altercation avec les policiers. Il est donc difficile pour une personne de nier des faits sans pouvoir se remémorer leur contexte. La récente dénégation de l'appelant est donc aussi tardive qu'inopportune, celui-ci s'en étant précédemment remis à la version des policiers, et ayant même reconnu les faits à l'audience de jugement. Elle est surtout dénuée de toute crédibilité, faute d'éléments de preuve corroboratifs, alors que son acte est établi à teneur du dossier. A ses convictions personnelles en matière d'armes – lesquelles ne sont pas relevantes –, s'opposent les déclarations constantes du gendarme D______ dont on peine à distinguer les motivations qui l'auraient poussé à imaginer un élément de fait parmi tant d'autres qui ne sont pas contestés. Son récit de l'intervention est intégralement corroboré par celui de son coéquipier, à l'exception dudit fait. A ce propos, il ne parait pas surprenant que l'appointé C______ n'ait pas surprit l'appelant dans sa tentative, tant il semble évident que celui-ci ait volontairement agi à son insu. C'est donc à bon droit que le premier juge a pris en compte la tentative de soustraction de l'arme de l'appointé C______ comme un des actes caractérisant le comportement d'opposition de l'appelant à l'endroit des policiers. En menant une lutte acharnée alors qu'ils tentaient de l'immobiliser en le menottant, il les a, avec conscience et volonté, empêchés d'accomplir un acte entrant dans leurs fonctions, de sorte que l'infraction prévue à l'art. 285 ch. 1 CP est consommée. Il sied de relever que même si la tentative de saisir l'arme n'avait pas été retenue, cela n'aurait eu aucune influence sur le verdict de culpabilité, vu qu'elle s'inscrivait dans un complexe de fait à propos duquel la culpabilité de l'appelant n'est plus contestée. Le verdict de culpabilité du chef d'infraction à l'art. 285 ch. 1 CP sera intégralement confirmé.</w:t>
      </w:r>
    </w:p>
    <w:p>
      <w:r>
        <w:rPr>
          <w:b/>
        </w:rPr>
        <w:t>E. 3.1</w:t>
      </w:r>
    </w:p>
    <w:p>
      <w:r>
        <w:t>A teneur de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ss ; arrêt du Tribunal fédéral 6B_660/2013 du 19 novembre 2013 consid. 2.2).</w:t>
      </w:r>
    </w:p>
    <w:p>
      <w:r>
        <w:rPr>
          <w:b/>
        </w:rPr>
        <w:t>E. 3.3</w:t>
      </w:r>
    </w:p>
    <w:p>
      <w:r>
        <w:t>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3.5</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 du Tribunal fédéral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3.6</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3.7</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w:t>
      </w:r>
    </w:p>
    <w:p>
      <w:r>
        <w:rPr>
          <w:b/>
        </w:rPr>
        <w:t>E. 3.8</w:t>
      </w:r>
    </w:p>
    <w:p>
      <w:r>
        <w:t>Le travail d'intérêt général, qui peut être prononcé aux conditions de l'art. 37 al. 1 CP (ATF 134 IV 97 consid. 6.3.3.2 p. 107 s.),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Il n'est pas une sanction réservée exclusivement aux personnes exerçant une activité lucrative. Contrairement à d'autres ordres juridiques, la loi ne prévoit pas de motif d'exclusion de certaines catégories d'auteurs déterminées. La peine de travail concerne ainsi tous les condamnés pour autant que les conditions en soient réalisées et qu'elle apparaisse adéquate (arrêt du Tribunal fédéral 6B_541/2007 du 13 mai 2008 consid. 4.2.4 et les références citées). 3.9.1. Les infractions de lésions corporelles simples qualifiées, violence ou menace contre les autorités et les fonctionnaires, conduite malgré une incapacité et violation de l'interdiction de conduire sous l'influence de l'alcool, ainsi que de conduite sans autorisation, sont réprimées d'une peine privative de liberté de trois ans au plus ou d'une peine pécuniaire (art. 123 ch. 1 et 2 et 285 ch. 1 CP, art. 91 al. 2 let. a et b et 95 al. 1 let. b LCR). Celles de violation simple des règles de la LCR et de consommation personnelle de stupéfiants sont sanctionnées de l'amende (art. 90 al. 1 LCR et art. 19a ch. 1 LStup). 3.9.2. La faute de l'appelant est importante. Il s'en est pris à l'intégrité physique de sa compagne, mû par la colère. Son mobile est d'autant plus égoïste que cette colère était infondée et trouvait sa cause dans la quantité de liquide ou de marijuana qu'il avait consommée. Les conflits que le couple rencontrait, lesquels étaient intimement liés aux addictions de l'appelant, ne justifiaient pas une résolution par la violence, tant il est évident que d'autres alternatives se présentent dans ce type de situation. Ses agissements envers les agents de police sont hautement blâmables. Il s'est opposé à réitérées reprises et avec virulence à l'autorité de ces derniers qui ne faisaient qu'accomplir leur devoir conformément à la procédure, n'hésitant pas à s'en prendre à leur intégrité physique. Son comportement sur la route se situe dans la même veine, dans la mesure où les nombreuses violations de la LCR représentent autant de mises en danger, heureusement abstraites, des autres usagers. Il a agi de la sorte par pure convenance personnelle, sa priorité étant d'assouvir ses besoins d'alcool et de drogue. Sa situation personnelle difficile, soit essentiellement sa grave dépendance auxdites substances, explique en partie ses agissements, sans toutefois les justifier. En ce sens, sa responsabilité faiblement restreinte constitue un élément atténuant. La bonne collaboration de l'appelant, de même que la récente prise de conscience qu'il a effectuée et les regrets qu'il a exprimés, ne conduisent toutefois pas la CPAR à lui accorder le bénéfice du repentir sincère. Comme précédemment évoqué, il serait prématuré de considérer le ressaisissement qu'il allègue, soit notamment ses abstinences qui ne sont toutefois pas démontrées, comme étant acquis, vu sa proximité. En tout état de cause, ces démarches ne sont aucunement désintéressées, dans la mesure où elles visent essentiellement les propres intérêts de l'appelant (notamment sa santé). Faute de comportement méritoire au sens de la jurisprudence, l’appelant ne sera pas suivi en tant qu'il plaide la circonstance atténuante de l’art. 48 let. d CP, étant relevé que les éléments susmentionnés seront pris en considération dans le cadre de la fixation de la peine comme facteurs atténuants. Aucune des autres circonstances prévues par l'art. 48 CP n'est réalisée, ni d'ailleurs plaidée. Quant au pronostic, la CPAR relèvera d'emblée que le prononcé d'un traitement ambulatoire – mesure non-contestée par l'appelant et dont la nécessité sera examinée ci-après –, implique qu'il soit défavorable puisqu'il est notamment fondé sur le risque élevé de récidive déterminé à l'aune des antécédents et de la situation actuelle de l'appelant (ATF 135 IV 180 consid. 2.3 p. 187 ; arrêt du Tribunal fédéral 6B_94/2015 du 24 septembre 2015 consid. 1.1 et les arrêts cités). Assortir la peine du sursis et envisager le traitement préconisé sous forme de règle de conduite est en conséquence exclu. Un examen au fond ne conduit toutefois pas à un autre constat, le premier juge ayant effectué une correcte appréciation du cas d'espèce. On soulignera que l'appelant a fait l'objet de sept condamnations en six ans, dont quatre pour des infractions contre l'intégrité corporelle de sa compagne, l'autorité publique ou la sécurité routière. Pour avoir commis en moyenne une infraction par année, il n'a tiré aucune leçon des décisions de justice prises à son encontre. Un des quatre sursis qui lui avaient été octroyés a été révoqué, l'appelant n'ayant pas su en profiter. Les trois peines fermes prononcées subséquemment n'ont guère eu plus d'effets, l'appelant ayant fait preuve d'une totale indifférence. L'absence de condamnation pendant deux ans (de 2013 à 2015) ne saurait être considérée comme un élément atténuant, dans la mesure où les premiers faits, objets de la présente procédure, ont été commis en mars 2014, soit sept mois après sa dernière condamnation (en août 2013). A dire d'expert, le risque de récidive, constaté précédemment, deviendrait concret en cas de rechute de l'appelant. L'évolution semble positive sur ce point, l'appelant se déclarant abstinent tant à l'alcool qu'au chanvre, depuis bientôt une année. Il est néanmoins regrettable qu'aucune preuve matérielle (analyses médicales) ne corrobore ses propos. A tenir néanmoins son sevrage pour avéré, ce que l'on ne peut qu'encourager, la prudence est de mise pour plusieurs raisons. L'appelant, qui souffrait d'une grave et ancienne dépendance tant à l'alcool qu'au cannabis, a mis prématurément un terme aux suivis psychologique et médical qu'il avait entrepris. Il se trouve actuellement livré à lui-même, sans avoir pleinement conscience de son problème ni du danger que représente la consommation simultanée de ces deux substances, selon l'expertise. A cela s'ajoute une rupture sociale qui semble s'être récemment résorbée, et une situation financière difficile, dont on ne peut que souhaiter qu'elle s'améliore, ce qui ne sera néanmoins pas tâche aisée vu le parcours professionnel de l'appelant. Eu égard à la répétition de délits de même genre sur plusieurs années, à l'insensibilité de l'appelant aux peines fermes prononcées à son encontre, à sa situation personnelle complexe et fragile, dont l'amélioration n'en est qu'à ses débuts, le pronostic ne peut qu'être défavorable. Par conséquent, seule une peine ferme peut être arrêtée. Eu égard à la gravité de la faute de l'appelant et à sa propension à commettre de nouvelles infractions, et dans la mesure où il n'a eu cure des sept peines pécuniaires prononcées à son encontre, telle sanction, tout comme le travail d'intérêt général, sont assurément trop cléments, faute de déployer un effet dissuasif. Seule une peine privative de liberté peut désormais être envisagée. La quotité de six mois consacre une correcte application des critères de l'art. 47 CP à l'aune des éléments susrappelés, de sorte qu'elle sera confirmée. Il convient de préciser que l'appelant pourra bénéficier du régime de la semi-détention si les conditions y relatives sont réalisées (art. 77b CP). Dans la mesure où le pronostic est défavorable, l'appelant présentant un risque de récidive certain, c'est à bon droit que le premier juge a révoqué le sursis relatif à la peine pécuniaire de 40 jours-amende à CHF 30.- l'unité, prononcé le 17 juin 2011 par le MP. Le montant de l'amende, ainsi que la quotité de la peine privative de liberté de substitution, ayant été arrêtés de manière adéquate (art. 106 CP) ce que l'appelant ne conteste d'ailleurs pas, ils seront confirmés. 3.10.1.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3.10.2.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(art. 63 al. 2 CP).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6B_1150/2014 du 19 novembre 2015 consid. 3.2.2). 3.10.3. Si les conditions d'application de l'une ou l'autre des mesures prévues aux art. 56 ss CP sont remplies, en particulier une mesure thérapeutique institutionnelle (art. 59 CP) ou un traitement ambulatoire (art. 63 CP),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w:t>
      </w:r>
    </w:p>
    <w:p>
      <w:r>
        <w:rPr>
          <w:b/>
        </w:rPr>
        <w:t>E. 3.11</w:t>
      </w:r>
    </w:p>
    <w:p>
      <w:r>
        <w:t>La nécessité d'un traitement de ses troubles est manifeste, à teneur du rapport d'expertise, ce à quoi l'appelant consent. Il est en effet important qu'il prenne pleinement conscience de l'influence de l'alcool et de la drogue sur son impulsivité et qu'il cesse à long terme sa consommation, afin de prévenir une récidive. Il n'y a donc pas lieu de renoncer au traitement ambulatoire ordonné, en sus de la peine privative de liberté ferme, l'expert ayant expressément relevé que le traitement pouvait être instauré en détention et étant rappelé que la suspension de la peine constitue l'exception (art. 63 al. 2 a contrario CP). Sans préjudice au principe de l'interdiction de la reformatio in pejus , la CPAR précisera en quoi consiste le traitement ordonné, le jugement querellé étant muet sur ce point. Conformément aux recommandations de l'expert, l'appelant sera soumis à un suivi multidisciplinaire (médico-psychologique et social), lequel devra comprendre des contrôles sanguins aléatoires attestant son abstinence à l'alcool, auxquels l'appelant a expressément consenti. L'obligation lui est faite d'adresser tous les trois mois au SAPEM un rapport relatif à son suivi et à son évolution. Les fréquences des contrôles et des entretiens seront laissées à l’appréciation des thérapeutes. Le jugement entrepris sera complété dans le sens des considérants.</w:t>
      </w:r>
    </w:p>
    <w:p>
      <w:r>
        <w:rPr>
          <w:b/>
        </w:rPr>
        <w:t>E. 4.1</w:t>
      </w:r>
    </w:p>
    <w:p>
      <w:r>
        <w:t>L'indemnisation pour frais de défense, au sens des art. 429 al. 1 let. a et 436 al. 2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 Bâle 2011, n. 12 ad art. 429 ; ACPR/41/2012 du 30 janvier 2012), le prévenu n'ayant en principe pas à supporter les frais afférents à la défense d'office (cf. art. 426 al. 1 CPP).</w:t>
      </w:r>
    </w:p>
    <w:p>
      <w:r>
        <w:rPr>
          <w:b/>
        </w:rPr>
        <w:t>E. 4.2</w:t>
      </w:r>
    </w:p>
    <w:p>
      <w:r>
        <w:t>M e B______ ayant été nommé défenseur d'office aux fins d'assister l'appelant dans le cadre de la procédure, il apparaît que celui-ci n'a pas supporté de dépenses relatives à un avocat de choix. Il ne saurait donc prétendre à une indemnité à ce titre, les conditions des art. 429 al. 1 let. a et 436 al. 2 CPP n'étant pas réalisées. Ses conclusions seront rejetées.</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Le verdict de culpabilité étant intégralement confirmé et l'appelant étant débouté de ses autres conclusions, il convient de maintenir sa condamnation pour moitié aux frais de procédure de première instance, et pour totalité à l'émolument de jugement complémentaire. L'appel étant rejeté, l'appelant supportera les frais de ladite procédure (art. 428 al. 1 CPP et 14 al. 1 let. e du Règlement fixant le tarif des frais en matière pénale ; E 4 10.03) comprenant un émolument de CHF 2'000.-.</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L'annonce d'appel et la déclaration d'appel (ordonnance de la Cour des plaintes du Tribunal pénal fédéral BB.2014.51 du 21 novembre 2014 consid. 2.1 ; décisions de la Cour des plaintes du Tribunal pénal fédéral BB.2013.165 du 24 janvier 2014 consid. 4.1.3 et BB.2013.127 du 4 décembre 2013 consid. 4.2) sont incluses dans le forfait.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AARP/300/2015 du 16 juillet 2015). 6.2.4.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AARP/21/2016 du 22 janvier 2016).</w:t>
      </w:r>
    </w:p>
    <w:p>
      <w:r>
        <w:rPr>
          <w:b/>
        </w:rPr>
        <w:t>E. 6.3</w:t>
      </w:r>
    </w:p>
    <w:p>
      <w:r>
        <w:t>En l’espèce, conformément aux principes qui précèdent, il convient d’écarter de l’état de frais du défenseur d'office de l'appelant, 1h consacrée à des recherches juridiques, l’État n’ayant pas à assumer la charge de la formation de l’avocat stagiaire, 2h10' affectées à la rédaction de la déclaration d'appel, à l'analyse de la réponse du MP, ainsi qu'à la confection d'un chargé de pièces, toutes tâches incluses dans la majoration forfaitaire. Ces déductions effectuées, l’activité déployée en appel pour la défense des intérêts de l’appelant couverte par l’assistance juridique sera donc arrêtée à 6h45' au tarif de l'avocat stagiaire. Il convient d’y ajouter l’indemnisation forfaire de 20 % et la TVA au taux de 8%. Il en résulte que l’indemnisation requise sera accordée à hauteur de CHF 568.65.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