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P/419/2019 vom 4. Juni 2020</w:t>
      </w:r>
    </w:p>
    <w:p>
      <w:r>
        <w:t>GE Cour de justice, 2020-06-04, FR</w:t>
      </w:r>
    </w:p>
    <w:p>
      <w:r>
        <w:rPr>
          <w:b/>
        </w:rPr>
        <w:t xml:space="preserve">Quelle: </w:t>
      </w:r>
      <w:r>
        <w:t>https://mcp.opencaselaw.ch/entscheid/ge_gerichte_P_419_2019</w:t>
      </w:r>
    </w:p>
    <w:p>
      <w:r>
        <w:t>FR: GE_GERICHTE P/419/2019 du 4 juin 2020</w:t>
      </w:r>
    </w:p>
    <w:p>
      <w:r>
        <w:t>IT: GE_GERICHTE P/419/2019 del 4 giugno 2020</w:t>
      </w:r>
    </w:p>
    <w:p>
      <w:pPr>
        <w:pStyle w:val="Heading2"/>
      </w:pPr>
      <w:r>
        <w:t>Regeste</w:t>
      </w:r>
    </w:p>
    <w:p>
      <w:r>
        <w:t>IN DUBIO PRO REO;VOL(DROIT PÉNAL);APPROPRIATION ILLÉGITIME;FIXATION DE LA PEINE;REPENTIR SINCÈRE;EXEMPTION DE PEINE | CP.137; CP.139; CPP.350.al1; CP.47; CP.48.letd; CP.53; CPP.436.al2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1.2.1.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Si la qualification juridique considérée par l'autorité devait être envisagée par les parties et qu'elles ont pu exercer leur droit d'être entendu suffisamment durant la procédure, en particulier si le droit du prévenu à exercer convenablement sa défense a été respecté, aucune violation ne peut être retenue, y compris lorsque l'autorité n'a pas expressément invité les parties à se déterminer sur celle-ci (arrêts du Tribunal fédéral 6B_941/2018 du 6 mars 2019 consid. 1.3.4 ; 6B_1310/2015 du 17 janvier 2017 consid. 5.3 ; A. MACALUSO / L. MOREILLON / N. QUELOZ [éds], Commentaire romand, Code pénal II, vol. II, Partie spéciale : art. 111-392 CP , Bâle 2017, n. 2d ad art. 344). 1.2.2. En l'espèce, le prévenu a invité la Chambre pénale d'appel et de révision (ci-après : CPAR) à considérer les faits lui étant reprochés sous l'angle de l'art. 137 CP, de sorte que son droit d'être entendu a été respecté. En outre, les faits tels que décrits dans l'acte d'accusation sont suffisants pour examiner une condamnation pour appropriation illégitime.</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2.2.1.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Les éléments constitutifs objectifs du vol sont la chose mobilière appartenant à autrui et l'acte de soustraction, et les éléments subjectifs l'intention, le dessein d'appropriation ainsi que le dessein d'enrichissement illégitime (A. MACALUSO / L. MOREILLON / N. QUELOZ [éds], op. cit. , n. 4 ad art. 139). Le vol est consommé (" vollendet ") dès que la soustraction est parfaite, soit dès qu'une nouvelle possession est créée. Il est achevé (" beendet ") avec l'appropriation de la chose mobilière soustraite et avec la réalisation de l'enrichissement recherché par l'auteur (M. DUPUIS / L. MOREILLON / C. PIGUET / S. BERGER / M. MAZOU / V. RODIGARI [éds], Petit Commentaire du Code pénal , 2 e éd., Bâle 2017, n. 16ss ad art. 139). La soustraction implique la violation de la possession d'autrui et la création d'une nouvelle possession, en général en faveur de l'auteur (ATF 110 IV 80 consid. 2b). Pour être à même de parler de soustraction, il faut, premièrement, qu'un tiers soit en possession de l'objet de l'infraction. En matière pénale, la possession (" Gewahrsam " ; " possesso ") est définie comme un pouvoir de fait sur la chose, selon les règles de la vie sociale. Elle présuppose la disposition effective de la chose et la volonté de la posséder (ATF 132 IV 108 consid. 2.1 p. 110 et les références). Une telle maîtrise doit être reconnue lorsque le tiers peut exercer une maîtrise physique sur la chose mobilière, fût-ce à distance, mais également aussi longtemps qu'il sait où la chose se trouve et demeure en mesure d'y accéder (M. DUPUIS / B. GELLER / G. MONNIER / L. MOREILLON / C. PIGUET / C. BETTEX / D. STOLL [éds], op. cit. , n. 9 ad art. 139). La soustraction implique, deuxièmement, la rupture de la possession (" Gewahrsam-bruch ") (M. DUPUIS / B. GELLER / G. MONNIER / L. MOREILLON / C. PIGUET / C. BETTEX / D. STOLL [éds], op. cit. , n. 10 ad art. 139). L'illicéité du comportement est déterminée par la rupture de la possession de l'ayant droit par le voleur et la création d'une nouvelle possession en faveur de ce dernier ou celle d'un tiers.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 nouv. éd., 2009, § 30 n. 900 et 901). Le troisième et dernier élément de la soustraction se rapporte à la création d'une nouvelle possession. La rupture de la possession et la création d'une nouvelle possession interviennent dès lors que l'auteur se saisit de la chose mobilière visée, le cas échéant avec possibilité de l'emporter (M. DUPUIS / L. MOREILLON / C. PIGUET / S. BERGER / M. MAZOU / V. RODIGARI [éds], op. cit. , n. 11 ad art. 139 ; M. A. NIGGLI / H. WIPRÄCHTIGER, Basler Kommentar, Strafrecht II, Art. 111 - 392 StGB , 3 e éd., Bâle 2013, n. 64ss ad art. 139). L'intention doit porter sur tous les éléments constitutifs de l'infraction, soit notamment sur l'appartenance à autrui de la chose mobilière, ainsi que sur la rupture de la possession et la création d'une nouvelle possession, le dol éventuel étant suffisant (A. MACALUSO / L. MOREILLON / N. QUELOZ [éds], op. cit. , n. 45 ad art. 139 ; M. A. NIGGLI / H. WIPRÄCHTIGER, op. cit. , n. 67 ad art. 139). La loi précise en outre que l'auteur du vol doit soustraire la chose dans le but de se l'approprier. Dans le processus d'appropriation, l'on distingue l'aspect négatif de la privation (" Enteignung ") et l'aspect positif de l'accaparement (" Zueignung "). L'auteur doit avoir la volonté de priver durablement le propriétaire de sa chose et doit se l'approprier pour une certaine durée au moins (ATF 129 IV 223 consid. 6.2.1 p. 227 ; M. DUPUIS / L. MOREILLON / C. PIGUET / S. BERGER / M. MAZOU / V. RODIGARI [éds], op. cit. , n. 7 ad art. 137). Ainsi, il ne suffirait pas que l'auteur ait le dessein d'utiliser temporairement la chose ou de la détruire ; il faut qu'il veuille l'incorporer à son patrimoine en vue de la conserver ou de l'aliéner (B. CORBOZ, Les infractions en droit suisse, vol. I , 3 e éd., Berne 2010, n. 9 ad art. 139). Partant, si l'auteur a d'emblée l'intention de rendre l'objet au propriétaire, il n'existe pas d'appropriation. Un changement d'avis intervenant postérieurement et une restitution volontaire ou involontaire sont toutefois insignifiants (G. STRATENWERTH / G. JENNY / F. BOMMER, Schweizerisches Strafrecht, BT I : Straftaten gegen Individualinteressen , 3 e éd., Berne 2010, § 13 n. 13). Le dessein d'appropriation doit être présent au moment de la soustraction de la chose (M. DUPUIS / L. MOREILLON / C. PIGUET / S. BERGER / M. MAZOU / V. RODIGARI [éds], op. cit. , n. 14 ad art. 139). L'accaparement peut n'être que passager ; l'auteur ne doit pas nécessairement avoir la volonté de garder la chose, mais doit du moins vouloir posséder la chose comme si elle était à lui, même si ce n'est que temporairement. Dans la mesure où le moment pertinent est celui de la soustraction, une décision de déréliction intervenue par la suite ou même une déréliction involontaire n'ont pas d'impact sur l'existence de l'appropriation (M. A. NIGGLI / H. WIPRÄCHTIGER, op. cit. , n. 39ss et 42 ad art. 137). Enfin, l'auteur doit agir dans le dessein de se procurer ou de procurer à un tiers un enrichissement illégitime, soit un avantage patrimonial, auquel il n'a pas droit, sans qu'il soit nécessaire pour la consommation de l'infraction qu'il parvienne à ce résultat. Le dessein d'enrichissement peut résulter du seul fait de vouloir tirer un profit de la chose et doit exister au moment de la soustraction (B. CORBOZ, op. cit. , n. 11 ad art. 139 ; J. HURTADO POZO, op. cit. , § 28 n. 804 ; A. MACALUSO / L. MOREILLON / N. QUELOZ [éds], op. cit. , n. 48 ad art. 139 ; M. A. NIGGLI / H. WIPRÄCHTIGER, op. cit. , n. 75 ad art. 139). 2.2.2.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L'infraction se conçoit simultanément comme un délit formel, entièrement consommé par l'acte d'appropriation incriminé, et comme un délit de lésion (M. DUPUIS / L. MOREILLON / C. PIGUET / S. BERGER / M. MAZOU / V. RODIGARI [éds], op. cit. , n. 2 ad art. 137). Cette disposition présuppose notamment l'appropriation d'une chose mobilière appartenant à autrui, ainsi qu'un dessein d'enrichissement illégitime de la part de l'auteur (B. CORBOZ, op. cit. , nos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 arrêt du Tribunal fédéral 6B_1056/2018 du 29 janvier 2019 consid. 2.3.1).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p. 107 et les références citées ; arrêts du Tribunal fédéral 6B_1043/2015 du 9 décembre 2015 consid. 4.2.1 et 6B_395/2015 du 25 novembre 2015 consid. 2.2). 2.3.1. Compte tenu de la subsidiarité de l'infraction d'appropriation illégitime, il convient d'examiner, dans un premier temps, si tous les éléments constitutifs du vol sont remplis en l'espèce. Le prévenu ne peut être suivi lorsqu'il soutient qu'en quittant les lieux sans son sac tombé devant le distributeur CFF, l'intimée en avait ainsi perdu la maîtrise. En effet, il ressort des déclarations constantes de cette dernière qu'elle connaissait l'endroit exact où elle avait momentanément oublié son sac, de sorte qu'en s'en emparant, l'appelant a bien soustrait un objet dont la plaignante était encore en possession. Il est néanmoins admis et établi par les éléments du dossier, en particulier le rapport de police et les explications du prévenu, qu'au moment où le précité a ramassé et emporté le sac à main de l'intimée, il souhaitait le lui rendre. Ce n'est que par la suite, lorsqu'il s'est mis à courir derrière la plaignante dans les couloirs de l'aéroport, qu'il a décidé de s'accaparer son contenu. Or, à cet instant, le sac avait déjà été déplacé hors de la sphère d'influence de cette dernière, puisqu'elle pensait encore que son bien se trouvait à côté du distributeur. Ainsi, les desseins d'appropriation et d'enrichissement illégitime sont apparus non pas concomitamment à la soustraction, mais peu après, ce qui exclut le vol, au regard de la doctrine claire à ce propos. 2.3.2. Eu égard à ce qui précède, seule l'infraction d'appropriation illégitime entre en ligne de compte, dès lors que l'appelant a finalement décidé de s'enrichir de manière illégitime en s'appropriant le sac qui appartenait à la partie plaignante, ce qu'il savait, puisqu'il l'avait observée devant le distributeur. Aussi, le verdict de culpabilité sera-t-il modifié en ce sens et l'appel admis sur ce point. 2.3.3. Le prévenu conteste encore la présence des EUR 300.- dans le sac de la plaignante lorsqu'il se l'est approprié. S'agissant d'un délit formel, entièrement consommé par l'acte d'appropriation, sans exigence d'un quelconque enrichissement ou encore dommage, le montant du butin n'exerce aucune influence sur la culpabilité constatée initialement, mais peut en avoir une sur la fixation de la peine, au regard de la faute ou encore de l'examen d'une éventuelle circonstance atténuante ou exemption de peine, comme plaidé (voir i nfra ch. 3.2). Rien dans le dossier ne permet de remettre en question la véracité des déclarations de la plaignante concernant le montant de l'argent liquide qui lui a été dérobé. En effet, l'intégralité des objets énumérés à la police se trouvaient dans le sac retrouvé, hormis les EUR 300.- dont elle a par ailleurs décrit les coupures avec précision. Il n'est d'ailleurs pas crédible qu'elle n'ait pas eu d'argent. En outre, cette devise, unité monétaire du pays de résidence de l'intimée, est très facilement acceptée en Suisse. Ainsi, le prévenu, qui a admis s'être approprié le sac pour " arrondir sa fin de mois " à l'approche des fêtes et l'avoir fouillé, ne peut qu'avoir vu et pris les billets qui s'y trouvaient, ce qui expliquerait aussi la raison pour laquelle il a préféré se débarrasser du sac discrètement, au lieu de l'amener à la police, comme il l'a d'ailleurs admis. Le fait que cet argent n'ait pas été retrouvé sur lui par les forces de l'ordre n'est pas relevant. Il a eu par exemple tout le loisir de le cacher, lorsqu'il est rentré à son domicile pour déjeuner. Enfin, il est plus que douteux qu'une tierce personne se soit emparée de cet argent avant le prévenu, alors qu'il ressort des images de vidéosurveillance qu'il a ramassé le sac de la plaignante immédiatement après son départ. Il ne fait par conséquent aucun doute que l'appelant s'est bien approprié les EUR 300.- qui se trouvaient dans le sac à main de l'intimée.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3.1.3. Selon l'art. 48 let. d CP, le juge attenue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 3.1.4.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La possibilité offerte par l'art. 53 CP fait appel au sens des responsabilités de l'auteur en le rendant conscient du tort ( Unrecht ; torto )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L'auteur doit à tout le moins admettre avoir eu un comportement contraire au droit (ATF 136 IV 41 consid. 1.2.1 = JdT 2011 IV 235 ; ATF 135 IV 12 consid. 3.4.1 et 3.5.3 = JdT 2010 IV 139 ; arrêts du Tribunal fédéral 6B_344/2013 du 19 juillet 2013 consid. 4 ; 6B_152/2007 du 13 mai 2008 consid. 5.2).</w:t>
      </w:r>
    </w:p>
    <w:p>
      <w:r>
        <w:rPr>
          <w:b/>
        </w:rPr>
        <w:t>E. 3.2</w:t>
      </w:r>
    </w:p>
    <w:p>
      <w:r>
        <w:t>En l'espèce, la faute de l'appelant peut être qualifiée de modérée, au regard du bien juridique lésé. L'absence d'antécédents judiciaires a un effet neutre sur la peine (ATF 136 IV 1 consid. 2.6.). Sa collaboration à la procédure ne peut être qualifiée de bonne, dans la mesure où si l'appelant a reconnu ses torts, il n'a cessé de contester avoir dérobé EUR 300.- dans le sac de la plaignante. Dans l'ensemble, l'appelant demeure ambivalent quant à sa responsabilité, puisqu'il a présenté ses excuses et exprimé ses regrets sincères, tout en persistant à nier ce fait. La prise de conscience n'est dès lors manifestement pas encore complète. Compte tenu de cette introspection qui demeure partielle, les conditions de l'exemption de peine, au sens de l'art. 53 CP, ne sont pas remplies, étant précisé que l'appelant n'a proposé d'indemniser la plaignante qu'à raison de sa participation à la procédure. Pour cette raison, la circonstance atténuante du repentir sincère, qui suppose une prise de conscience du caractère répréhensible de l'infraction et un changement d'état d'esprit sincère du délinquant, ne trouve pas non plus à s'appliquer. Au vu de l'ensemble des éléments qui précèdent, la CPAR estime que la peine pécuniaire de 60 jours-amende, fixée par le premier juge, représente une sanction adéquate. L'unité de CHF 30.- tient équitablement compte de la situation économique de l'appelant. Le sursis, dont les conditions sont réunies, lui est acquis (art. 42 CP cum art. 391 al. 2 CPP). Le délai d'épreuve de trois ans retenu par le premier juge est adéquat, compte tenu de sa prise de conscience partielle (art. 44 CP). L'appel sera partant rejeté sur ce point et le jugement confirmé.</w:t>
      </w:r>
    </w:p>
    <w:p>
      <w:r>
        <w:rPr>
          <w:b/>
        </w:rPr>
        <w:t>E. 4</w:t>
      </w:r>
    </w:p>
    <w:p>
      <w:r>
        <w:t>L'appelant, qui a partiellement gain de cause, dans la mesure où il est mis au bénéfice d'une qualification juridique moins lourde, dont il n'a toutefois pas tiré avantage s'agissant de la peine, supportera les 2/3 des frais de la procédure d'appel, comprenant un émolument de jugement de CHF 1'500.- (art. 428 CPP et 14 al. 1 let. e du Règlement fixant le tarif des frais en matière pénale du 22 décembre 2010 [RS E 4 10.03]). S'agissant des frais de la procédure préliminaire et de première instance, l'appelant a été reconnu coupable, de sorte qu'il n'y a pas lieu d'en revoir la répartition (art. 426 al. 1 CPP).</w:t>
      </w:r>
    </w:p>
    <w:p>
      <w:r>
        <w:rPr>
          <w:b/>
        </w:rPr>
        <w:t>E. 5</w:t>
      </w:r>
    </w:p>
    <w:p>
      <w:r>
        <w:t>5.1.1.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 5.1.2. Les honoraires d'avocat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 cf. ATF 135 III 259 consid. 2 p. 261ss ; arrêts du Tribunal fédéral 2C_725/2010 du 31 octobre 2011 consid. 2.3 et 2C_25/2008 du 18 juin 2008 consid. 4.2.5).</w:t>
      </w:r>
    </w:p>
    <w:p>
      <w:r>
        <w:rPr>
          <w:b/>
        </w:rPr>
        <w:t>E. 5.2</w:t>
      </w:r>
    </w:p>
    <w:p>
      <w:r>
        <w:t>En l'espèce, l'appelant obtient une qualification juridique plus favorable. Une indemnité lui sera partant accordée ex aequo et bono , comme demandé, pour ses frais de défense en appel, correspondant à 3h00 d'activité de chef d'étude, montant qui sera divisé par trois dans la proportion retenue pour la répartition des frais de la procédure d'appel (voir supra ch. 4). C'est ainsi un montant de CHF 430.80, correspondant à 1h00 à CHF 400.- (CHF 400.-), plus TVA de 7.7% (CHF 30.80) qui sera alloué à l'appelant. Conformément à l'art. 442 al. 4 CPP, la part des frais de la procédure supportée par l'appelant (voir supra ch. 4) sera compensée à due concurrence avec les indemnités qui lui sont octroyées pour ses frais de défense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