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P/4182/2020 vom 24. Februar 2022</w:t>
      </w:r>
    </w:p>
    <w:p>
      <w:r>
        <w:t>GE Cour de justice, 2022-02-24, FR</w:t>
      </w:r>
    </w:p>
    <w:p>
      <w:r>
        <w:rPr>
          <w:b/>
        </w:rPr>
        <w:t xml:space="preserve">Quelle: </w:t>
      </w:r>
      <w:r>
        <w:t>https://mcp.opencaselaw.ch/entscheid/ge_gerichte_P_4182_2020</w:t>
      </w:r>
    </w:p>
    <w:p>
      <w:r>
        <w:t>FR: GE_GERICHTE P/4182/2020 du 24 février 2022</w:t>
      </w:r>
    </w:p>
    <w:p>
      <w:r>
        <w:t>IT: GE_GERICHTE P/4182/2020 del 24 febbraio 2022</w:t>
      </w:r>
    </w:p>
    <w:p>
      <w:pPr>
        <w:pStyle w:val="Heading2"/>
      </w:pPr>
      <w:r>
        <w:t>Regeste</w:t>
      </w:r>
    </w:p>
    <w:p>
      <w:r>
        <w:t>EXPULSION(DROIT PÉNAL);CAS DE RIGUEUR | CP.66a.al2; CPP.426; CPP.428</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qui ne procède pas d’un abus de droit du MP, celui-ci ayant conclu par appel joint au prononcé de la peine initialement requise devant les premiers juges (arrêt du Tribunal fédéral 6B_1498/2020 du 29 novembre 2021 destiné à la publication, consid. 4.4.3). La Chambre limite son examen aux violations décrites dans l'acte d'appel (art. 404 al. 1 CPP), sauf en cas de décisions illégales ou inéquitables (art. 404 al. 2 CPP).</w:t>
      </w:r>
    </w:p>
    <w:p>
      <w:r>
        <w:rPr>
          <w:b/>
        </w:rPr>
        <w:t>E. 2.1</w:t>
      </w:r>
    </w:p>
    <w:p>
      <w:r>
        <w:t>L’appelant ne conteste à raison pas le verdict de culpabilité d’infraction grave à la LStup, au sens de l’art. 19 al. 1 let. c et d et al. 2 let. a de cette loi, infraction passible d’une peine privative de liberté d’un an au moins et de vingt ans au plus (art. 40 al. 2 CP). Seule est ainsi litigieuse la peine prononcée par les premiers juges et dans ce contexte la révocation du sursis antérieur ainsi que l’application de la circonstance atténuante de l’art. 19 al. 3 LStup.</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 bonne collaboration à l'enquête peut, lorsqu'elle ne remplit pas les conditions d'un repentir sincère (art. 48 let. d CP), constituer un élément favorable pour la fixation de la peine dans le cadre ordinaire de l'art. 47 CP (arrêts du Tribunal fédéral 6B_1054/2019 du 27 janvier 2020 consid. 1.1 ; 6B_554/2019 du 26 juin 2019 consid. 4.1).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 consid. 2b/aa ; arrêt du Tribunal fédéral 6B_1192/2018 du 23 janvier 2019 consid. 1.1). Le type de drogue et sa pureté doivent aussi être pris en considération (ATF 122 IV 299 consid. 2c ; ATF 121 IV 193 consid. 2b/aa).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w:t>
      </w:r>
    </w:p>
    <w:p>
      <w:r>
        <w:rPr>
          <w:b/>
        </w:rPr>
        <w:t>E. 2.3</w:t>
      </w:r>
    </w:p>
    <w:p>
      <w:r>
        <w:t>Si, durant le délai d'épreuve, le détenu libéré conditionnellement commet un crime ou un délit, le juge qui connaît de la nouvelle infraction ordonne sa réintégration dans l'établissement (art. 89 al. 1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(art 46 al. 2 CP). La commission d'un crime ou d'un délit durant le délai d'épreuve n'entraîne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En particulier, il doit prendre en considération l'effet dissuasif que la nouvelle peine peut exercer, si elle est exécutée (ATF 134 IV 140 consid.4.5). A l'inverse, lorsqu'un sursis antérieur est révoqué, l'exécution de la peine suspendue peut conduire à nier un pronostic défavorable et à assortir la nouvelle peine du sursis (ATF 134 IV 140 consid. 4.5).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 du Tribunal fédéral 6B_855/2010 du 7 avril 2011 consid. 2.2).</w:t>
      </w:r>
    </w:p>
    <w:p>
      <w:r>
        <w:rPr>
          <w:b/>
        </w:rPr>
        <w:t>E. 2.4</w:t>
      </w:r>
    </w:p>
    <w:p>
      <w:r>
        <w:t>Selon l’art. 19 al. 3 LStup, le tribunal peut atténuer librement la peine dans le cas d’une infraction visée à l’al. 2, si l’auteur est dépendant et que cette infraction aurait dû servir au financement de sa propre consommation de stupéfiants. 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P-LStup ; arrêt du Tribunal fédéral 6B_858/2014 du 19 mai 2015 consid. 2.2 in SJ 2015 I 439 p. 400). La Commission précitée renvoie, pour distinguer consommateurs et personnes dépendantes, aux critères développés dans la classification statistique internationale des maladies et des problèmes de santé connexes établie par l'OMS (CIM-10). L'art. 19 al. 3 let. b LStup n'est en outre applicable que si le trafic de drogue de l'intéressé finance exclusivement sa propre toxicomanie (FF 2006 ibidem). La LStup, qui fait régulièrement référence à la dépendance aux produits stupéfiants, ne définit pas cette notion ; cette notion figure toutefois également à l’art. 60 CP. Une dépendance se définit comme un désir puissant et incontrôlable de drogue, dans le but de diminuer le sentiment de manque ou de malaise et d’en ressentir les effets psychiques, tels qu’une sensation de bien-être et/ou de stimulation. De plus, dans les cas de dépendance longue et prononcée, on assiste à des changements de personnalité, accompagnés d’une diminution de la responsabilité sociale, d’un manque de fiabilité, d’un désintérêt vis-à-vis des personnes de référence, d’une négligence de l’hygiène personnelle, d’une réduction de la disponibilité intellectuelle ou encore d’une perte croissante de la capacité de discernement. Une dépendance peut être psychique et/ou physique. Une personne est dépendante psychiquement lorsqu’elle éprouve un désir ininterrompu, avide et incontrôlable d’une substance particulière et que l’absence de celle-ci provoque des troubles, de l’agitation, de la peur ou encore une mauvaise humeur à tendance dépressive. En revanche, la dépendance physique se caractérise par des symptômes corporels et végétatifs. Ces deux formes de dépendance peuvent survenir isolément ou cumulativement, seule ou en même temps. Mais une dépendance physique n’est pas obligatoire, puisqu’une addiction psychique peut à elle seule entraîner un important changement de personnalité. Il faut d’ailleurs préciser que la personnalité de base du consommateur et les différents facteurs de son environnement jouent un rôle primordial. Selon les connaissances actuelles, aucune substance n’entraîne automatiquement et immédiatement le développement d’une dépendance. Une dépendance est par conséquent toujours multifactorielle, puisqu’elle est influencée notamment par des facteurs sociaux, pharmacologiques, physiques et psychiques. En outre, le phénomène de « seuil de tolérance » est typique du développement d’une addiction : le consommateur aura besoin d’une quantité toujours plus importante de substances pour obtenir le même effet. Dans le langage commun, le terme d’addiction est devenu synonyme de dépendance. L’addiction exprime l’absence d’indépendance, soit une forme d’asservissement, voire d’esclavage. Pour les spécialistes, l’addiction désigne surtout cet aspect de la dépendance qu’est la dépendance psychique et comportementale (L. MOREILLON / A. MACALUSO / N. QUELOZ / N. DONGOIS (éds), Commentaire romand, Code pénal I, art. 1-110 CP , 2 ème éd., Bâle 2021, n. 4 et 5 ad art. 60 CP). Une définition de la dépendance figure également dans l’ordonnance relative à l’addiction aux stupéfiants (OAStup), qui prévoit en son article 2 let. a qu’on entend par dépendance ou addiction l’ensemble de phénomènes physiologiques, cognitifs et comportementaux qui peuvent se développer après la consommation répétée de substances psychoactives. 2.5.1. En l’espèce, l’expert psychiatre commis par le MP, au bénéfice d’une formation spécifique, a exclu que l’appelant soit toxicodépendant, ce que vient contredire l’expertise produite par l’appelant. Dès lors que les expertises privées ne sont produites que si elles sont favorables au mandant, elles doivent être appréciées avec retenue. Cela vaut aussi, lorsque l'expertise privée a été confiée à un spécialiste expérimenté et établi, qui fonctionne également comme expert auprès des tribunaux. L'expert privé n'est pas indépendant et détaché des parties comme l'est un expert officiel. Il entretient une relation avec la partie qui l'a mandé et exprime son opinion, sans être obligé envers l'autorité. Il faut donc partir du principe qu'un expert privé a une apparence de prévention à l'égard de la partie qui l'a choisie selon ses propres critères, est lié contractuellement et par un devoir de fidélité et est rémunéré par la partie, ce qui n'est pas le cas de l'expert judiciaire, qui assiste le juge dans sa décision, en mettant à profit son savoir et son expérience dans un domaine (ATF 127 I 73 consid. 3f/bb p. 81 ; ATF 118 Ia 144 consid. 1c p. 145 ss). Il découle de cette répartition des rôles entre les expertises officielles et privées qu'il n'est pas contraire au principe du procès équitable de permettre à l'expert officiel de prendre position sur l'expertise privée, sans accorder de droit de "réplique" à l'expert privé. Il suffit, sous l'angle de l'art. 6 § 1 CEDH, que le prévenu, respectivement son défenseur, ait l'occasion de se prononcer sur les conclusions de l'expert officiel se prononçant sur l'expertise privée (ATF 141 IV 369 consid. 6.2 p. 374 ; ATF 127 I 73 consid. 3f/bb p. 82 et les références). 2.5.2. La principale différence entre l’expertise privée est celle figurant à la procédure porte sur la toxicodépendance alléguée de l’appelant. Or, l’expert mandaté par le MP a clairement expliqué pourquoi il l’écartait, soulignant que l’appelant était parvenu à plusieurs reprises à diminuer ou arrêter sa consommation sans aide médicale particulière (C-295). Pour ce faire, l’expert s’est notamment fondé sur les constatations médicales pendant les séjours de l’appelant en détention, au cours desquels il n’a pas présenté de syndrome de manque ou de sevrage (C-291 sv). A cette motivation claire, l’expertise privée n’oppose aucun élément concret sinon les déclarations de l’appelant et le constat de ses rechutes. Certes, la toxicodépendance peut être fondée sur une dépendance psychique, sans signes physiques. Cela étant, l’expert psychiatre n’a retenu aucun trouble de la personnalité ni autre diagnostic pouvant conduire à retenir une dépendance psychique. Les éléments mis en exergue par l’expert privé, qui ressortent d’une appréciation subjective, n’ébranlent pas cette conclusion, qui est d’ailleurs renforcée par le fait qu’en décembre 2019, soit deux mois avant son interpellation, l’appelant a réussi à mettre un terme à toute consommation de stupéfiants, sans avoir besoin de recourir à une assistance médicale pour palier une dépendance physique ou psychique quelconque. 2.5.3. En tout état de cause, même s’il fallait retenir que l’appelant souffrait d’une telle dépendance, il faudrait alors constater qu’il n’a pas recouru au trafic de stupéfiants exclusivement pour financer sa propre toxicomanie ; l’appelant admet en effet qu’il a trafiqué pour pouvoir accéder à une meilleure qualité de produits en procédant à des achats en gros. Les quantités de cocaïne et de substances cannabiques, tout comme les sommes en cause, dépassent en tout état largement la simple alimentation d’une consommation personnelle, fût-elle importante. C’est dès lors en vain que l’appelant se prévaut de la circonstance atténuante de l’art. 19 al. 3 LStup. Sa consommation de stupéfiants sera néanmoins l’un des critères retenu dans l’examen de sa situation personnelle au sens de l’art. 47 CP, dans la mesure où même en l’absence de dépendance au sens strictement médical du terme, il est établi que, par périodes, l’appelant consommait compulsivement.</w:t>
      </w:r>
    </w:p>
    <w:p>
      <w:r>
        <w:rPr>
          <w:b/>
        </w:rPr>
        <w:t>E. 2.6</w:t>
      </w:r>
    </w:p>
    <w:p>
      <w:r>
        <w:t>L’appelant a récidivé très rapidement dans le délai d’épreuve qui lui a été imparti le 12 avril 2019. En effet, il a repris son trafic, de façon relativement intense et en proposant à ses clients consommateurs un assortiment varié de produits, à peine quatre mois plus tard, ce qui démontre un véritable professionnalisme et une détermination criminelle certaine. Cette récidive trahit également la confiance placée en lui par la justice lors de cette condamnation. Si son activité est restée cantonnée au niveau local, il avait néanmoins conscience de la provenance espagnole des produits de type cannabis, et donc d’une composante internationale de son activité. L’importance de son trafic ressort de la diversité des produits stupéfiants proposés, de leur qualité connue de l’appelant, de leur disponibilité et de l’ampleur des ventes. La faute de l’appelant, pleine et entière, est importante. L’appelant dispose d’une formation complète avec CFC ; il travaillait et subvenait à ses besoins pendant la période pénale. Il est d’ailleurs encore au bénéfice d’une offre d’emploi. Il bénéficiait du soutien de sa famille et d’un cercle d’amis extérieurs à sa consommation. Sa famille l’encadrait et le soutient manifestement encore. Il disposait de son propre logement, lequel, grâce à l’aide de ses parents, sera toujours disponible à sa sortie de prison. Sa situation personnelle plutôt favorable n’explique ainsi en rien sa récidive rapide. L’appelant a agi par facilité et par faiblesse, mais aussi par appât du gain, quand bien même sa toxicomanie a certainement contribué à la reprise de son trafic. En effet, l’appelant a sombré dans une consommation toujours plus importante de sa propre marchandise, notamment pour remédier à des problèmes médicaux avérés, dont l’apnée du sommeil, qui impactait sa vie quotidienne de façon importante mais n’avait pas encore été appareillée de façon efficace. Il est entré dans un engrenage, en recommençant à consommer de la cocaïne et du cannabis en grandes quantités, ce dont il a aujourd’hui pris conscience alors qu’il s’était caché la gravité de cette rechute lorsqu’elle a débuté. Quand bien même sa toxicomanie n’a pas atteint le stade de la dépendance au sens médical du terme, elle a joué un rôle dans la récidive. Il est en effet notoire que les échecs et les rechutes font partie de toute addiction ; les éviter nécessite une prise de conscience réelle et un suivi professionnel, de type social et médical. Le long séjour de l’appelant en détention – quasiment deux ans – lui a permis de mettre en place ce suivi. Les problèmes d’apnée du sommeil sont pris en charge par un appareil dont les bénéfices lui sont acquis et dont l’utilisation pourra se poursuivre au-delà de la détention. Il suit également un traitement pour remédier à son trouble d’hyperactivité, lequel nécessite un suivi psychothérapeutique régulier. L’appelant ne remplit pas les conditions du sursis, compte tenu de la peine prononcée en 2019, sans préjudice de la récidive quasiment immédiate. Une peine ferme sévère s’impose. Compte tenu de la gravité des faits reprochés, de la récidive, de la ténacité dont l’appelant a fait preuve, qui démontre une importante volonté délictuelle, et nonobstant sa propre toxicomanie et une très bonne collaboration, la Cour considère que la peine de deux ans, retenue par les premiers juges au titre de peine de base, est trop clémente, également en comparaison avec celle infligée à sa comparse, dont le trafic ne portait pas sur la cocaïne mais uniquement sur du cannabis. L’infraction grave à la LStup commise en l’espèce emporte en conséquence une peine privative de liberté de deux ans et demi.</w:t>
      </w:r>
    </w:p>
    <w:p>
      <w:r>
        <w:rPr>
          <w:b/>
        </w:rPr>
        <w:t>E. 2.7</w:t>
      </w:r>
    </w:p>
    <w:p>
      <w:r>
        <w:t>La peine ferme sévère présentement prononcée, conjuguée à l’évolution positive présentée par l’appelant au cours de son incarcération, qui a atteint quasiment deux ans au moment des débats d’appel, doit toutefois conduire à considérer qu’un pronostic favorable peut encore être posé pour le sursis dont il a bénéficié en 2019. En effet, l’appelant, qui n’avait été détenu que 200 jours lors de sa première interpellation, a certainement compris aujourd’hui l’importance et la nécessité de se conformer à l’ordre social et de ne plus récidiver, et le besoin de se faire aider pour atteindre cet objectif. La Cour considère dès lors que le maintien du sursis, qui doit être accompagné d’une prolongation du délai d’épreuve et de règles de conduite pour l’aider dans sa réinsertion dans la société, suffira à dissuader l’appelant de récidiver. Ce maintien du sursis, par l’imposition de règles de conduite, permet également d’assurer un suivi par les services sociaux, pour assurer une transition efficace à sa sortie de détention. L’appel doit ainsi être partiellement admis sur ce point et l’appel joint rejeté.</w:t>
      </w:r>
    </w:p>
    <w:p>
      <w:r>
        <w:rPr>
          <w:b/>
        </w:rPr>
        <w:t>E. 3.1</w:t>
      </w:r>
    </w:p>
    <w:p>
      <w:r>
        <w:t>Conformément à l'art. 66a al. 1 CP, le juge expulse un étranger du territoire suisse pour une durée de cinq à quinze ans s'il est reconnu coupable de l'une des infractions énumérées aux let. a à p, notamment en cas de condamnation pour infraction grave à la loi fédérale sur les stupéfiants (let. o).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3.2</w:t>
      </w:r>
    </w:p>
    <w:p>
      <w:r>
        <w:t>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(ATF 146 IV 105 consid. 3.4.2 p. 108 ; 144 IV 332 consid. 3.3 ; arrêt du Tribunal fédéral 6B_914/2020 du 26 avril 2021 consid. 1.6.1 et les références citées).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Cette disposition prévoit qu'une autorisation de séjour peut être octroyée dans les cas individuels d'extrême gravité. Elle commande de tenir compte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p. 109; 144 IV 332 consid. 3.3.2 et 3.3.3 et les arrêts cités ; arrêt du Tribunal fédéral 6B_153/2020 du 28 avril 2020 consid. 1.4.1).</w:t>
      </w:r>
    </w:p>
    <w:p>
      <w:r>
        <w:rPr>
          <w:b/>
        </w:rPr>
        <w:t>E. 3.3</w:t>
      </w:r>
    </w:p>
    <w:p>
      <w:r>
        <w:t>En l’espèce, il est constant que l’appelant a vécu l’essentiel de sa vie à Genève, où il est arrivé petit enfant et a été scolarisé. Il a développé des liens importants avec la Suisse où se trouve son centre de vie et d’intérêts. Il est au bénéfice d’une formation qui lui a permis de retrouver rapidement une activité professionnelle après sa libération en 2019. S’il a perçu des prestations de l’assurance chômage pendant quelques semaines, il a rapidement recouvré son autonomie financière. Lors de sa condamnation en avril 2019, les juges, suivant en cela le MP, ont retenu que l’appelant réalisait pleinement les conditions de la clause de rigueur au vu de sa bonne intégration en Suisse. Cette intégration, établie en 2019, persiste à ce jour. L’appelant est au bénéfice d’une offre d’emploi et de perspectives sérieuses de reprendre une activité professionnelle lui permettant de subvenir à ses besoins. Malgré sa récidive et sa détention, il n’a pas de dette et prend lui-même en charge ses soins médicaux. Il dispose d’un logement et d’une famille présente à ses côtés. S’il l’avait requise avant le début de ses déboires judiciaires, l’appelant aurait sans doute bénéficié d’une naturalisation dont il remplissait les conditions. Il ne fait pas de doute que l’expulsion le mettrait dans une situation personnelle grave. Il n’a pas de réel lien avec son pays d’origine, dont il ne maîtrise que mal la langue et toute sa vie est à Genève. Les infractions commises sont indubitablement en lien avec sa toxicomanie, qui est survenue et a pris racine à Genève.</w:t>
      </w:r>
    </w:p>
    <w:p>
      <w:r>
        <w:rPr>
          <w:b/>
        </w:rPr>
        <w:t>E. 3.4</w:t>
      </w:r>
    </w:p>
    <w:p>
      <w:r>
        <w:t>L’intérêt public à l’expulsion est important, le trafic de stupéfiants présentant une mise en danger sérieuse de l’ordre public. L’appelant ne présente toutefois aucun signe de comportement antisocial ou violent faisant craindre un autre danger pour la sécurité publique. Les difficultés personnelles, notamment de santé, qui l’ont conduit à sombrer dans la toxicomanie, sont finalement soignées. Compte tenu de l’ensemble des circonstances, et notamment des perspectives de réintégration sociale et professionnelle de l’appelant en Suisse, de sa prise de conscience et de sa situation personnelle, et bien qu’il s’agisse d’un cas très limite, l’intérêt public à l’expulsion ne l’emporte pas sur l’intérêt privé de l’appelant à rester en Suisse. Il faut dès lors renoncer à son expulsion.</w:t>
      </w:r>
    </w:p>
    <w:p>
      <w:r>
        <w:rPr>
          <w:b/>
        </w:rPr>
        <w:t>E. 4</w:t>
      </w:r>
    </w:p>
    <w:p>
      <w:r>
        <w:t>4.1.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w:t>
      </w:r>
    </w:p>
    <w:p>
      <w:r>
        <w:rPr>
          <w:b/>
        </w:rPr>
        <w:t>E. 4.2</w:t>
      </w:r>
    </w:p>
    <w:p>
      <w:r>
        <w:t>En l’espèce, l’appelant succombe partiellement en ce qui concerne la peine, dans la mesure où la peine est supérieure à celle retenue par les premiers juges comme peine de base ; en revanche, à l’aune du dispositif du présent arrêt, il obtient gain de cause sur la quotité de la peine ferme prononcée, sur la non-révocation du sursis antérieur et le renoncement à l’expulsion. Le MP, appelant joint, succombe quant à la quotité totale de la peine, raison pour laquelle son appel joint est rejeté ; il obtient néanmoins partiellement gain de cause, dans la mesure où la peine principale pour les faits reprochés est aggravée. Dans ces circonstances, l’appelant principal supportera un tiers des frais de la procédure d’appel, le solde étant laissé à la charge de l’Etat.</w:t>
      </w:r>
    </w:p>
    <w:p>
      <w:r>
        <w:rPr>
          <w:b/>
        </w:rPr>
        <w:t>E. 4.3</w:t>
      </w:r>
    </w:p>
    <w:p>
      <w:r>
        <w:t>Aux termes de l'art. 426 al. 3 let. a CPP, le prévenu ne supporte pas les frais que la Confédération ou le canton ont occasionné par des actes de procédure inutiles ou erronés. Le CPP ne définit pas ce qu’il faut entendre par cela ; il convient d’appliquer ces notions à l’aune des principes généraux, notamment l’obligation de rechercher d’office les faits et d’instruire à charge et à décharge et de respecter le caractère impératif de la poursuite.</w:t>
      </w:r>
    </w:p>
    <w:p>
      <w:r>
        <w:rPr>
          <w:b/>
        </w:rPr>
        <w:t>E. 4.4</w:t>
      </w:r>
    </w:p>
    <w:p>
      <w:r>
        <w:t>Les premiers juges ont arrêté les frais de la procédure préliminaire et de première instance à CHF 19'997.20, dont un émolument de jugement de CHF 1'500.-. Ces frais ont été mis à la charge de l’appelant, sous déduction de CHF 2'000.- mis à la charge de sa coprévenue. Cette répartition appelle des corrections. En effet, les frais d’instruction préliminaire du MP incluent notamment CHF 7’050.- en lien avec des recherches ADN sur la drogue saisie au domicile de l’appelant (pièce Z-503) et CHF 3'197.90 en lien avec des analyses de stupéfiants (Z-500). Or, les recherches ADN visaient essentiellement à identifier le fournisseur de l’appelant ; s’il s’était uniquement agi d’étayer ses aveux (art. 160 CPP), des recherches aussi larges étaient superflues. L’appelant a dans un premier temps protégé l’identité de son fournisseur, et ces frais étaient dès lors nécessaires et justifiés. Cela étant, il n’y a pas de raison que l’appelant supporte seul les coûts en lien avec les stupéfiants, puisque son fournisseur, dûment identifié et sous avis de recherche (Y-2001) doit en supporter une partie. La moitié en sera dès lors, en l’état, temporairement laissée à la charge de l’Etat. Il appartiendra le cas échéant au MP de les faire supporter à son comparse lors de son interpellation. L’appelant obtenant partiellement gain de cause en appel, l’émolument de jugement de première instance sera ramené à CHF 500.-. Les frais de la procédure préliminaire et de première instance doivent ainsi être ramenés à CHF 13’873.60 (19'997.20 – 1'000.- – 7'050.-/2 – 3' 197.90/2 ), dont CHF 2'000.- à la charge de la coprévenue et le solde, par CHF 11'873.60, à la charge de l’appelant.</w:t>
      </w:r>
    </w:p>
    <w:p>
      <w:r>
        <w:rPr>
          <w:b/>
        </w:rPr>
        <w:t>E. 5</w:t>
      </w:r>
    </w:p>
    <w:p>
      <w:r>
        <w:t>5.1.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l’avocat stagiaire (let. a).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 Il n’y a pas lieu d’allouer cette vacation pour les visites en prison, puisque le déplacement est inclus dans la durée admise d’une heure et 30 minutes.</w:t>
      </w:r>
    </w:p>
    <w:p>
      <w:r>
        <w:rPr>
          <w:b/>
        </w:rPr>
        <w:t>E. 5.4</w:t>
      </w:r>
    </w:p>
    <w:p>
      <w:r>
        <w:t>En l'occurrence la rédaction de l’annonce et de la déclaration d’appel, ainsi que d’un courrier au prévenu, sont des activités comprises dans l’indemnisation forfaitaire, étant rappelé que ces actes de procédure n’ont pas à être motivés. Par ailleurs, la durée des recherches juridiques sur l’appel joint du MP sera ramenée à une heure, permettant d’analyser l’arrêt récent du Tribunal fédéral sur cette question. La durée de préparation des débats d’appel sera ramenée à cinq heures, amplement suffisante dans un dossier connu pour avoir été plaidé quelques trois mois plus tôt en première instance, l’appel ne portant de surcroît pas sur le verdict de culpabilité. Il sera tenu compte de quatre visites au détenu (4 x 1h30), ainsi que de la durée des débats d’appel (2h) et de deux vacations pour l’audience d’appel et le prononcé du dispositif. En conclusion, la rémunération sera arrêtée à CHF 1'942.90 correspondant à 14 heures d'activité au tarif de CHF 110.-/heure plus la majoration forfaitaire de 10%, deux vacations à CHF 55.- et l'équivalent de la TVA au taux de 7.7% en CHF 138.90.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