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P/4148/2021 vom 4. Juli 2022</w:t>
      </w:r>
    </w:p>
    <w:p>
      <w:r>
        <w:t>GE Cour de justice, 2022-07-04, FR</w:t>
      </w:r>
    </w:p>
    <w:p>
      <w:r>
        <w:rPr>
          <w:b/>
        </w:rPr>
        <w:t xml:space="preserve">Quelle: </w:t>
      </w:r>
      <w:r>
        <w:t>https://mcp.opencaselaw.ch/entscheid/ge_gerichte_P_4148_2021</w:t>
      </w:r>
    </w:p>
    <w:p>
      <w:r>
        <w:t>FR: GE_GERICHTE P/4148/2021 du 4 juillet 2022</w:t>
      </w:r>
    </w:p>
    <w:p>
      <w:r>
        <w:t>IT: GE_GERICHTE P/4148/2021 del 4 luglio 2022</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estime réunir les conditions d'une défense d'office.![endif]&gt;![if&gt;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CPP).![endif]&gt;![if&gt;</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3).![endif]&gt;![if&gt;</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3.1).![endif]&gt;![if&gt;</w:t>
      </w:r>
    </w:p>
    <w:p>
      <w:r>
        <w:rPr>
          <w:b/>
        </w:rPr>
        <w:t>E. 3.4</w:t>
      </w:r>
    </w:p>
    <w:p>
      <w:r>
        <w:t>En l'espèce, l'indigence alléguée paraît plausible et n'est d'ailleurs pas remise en question par l'autorité intimée dans son ordonnance querellée.![endif]&gt;![if&gt; Reste ainsi à déterminer si le recourant peut prétendre à l'assistance d'un défenseur d'office pour la sauvegarde de ses intérêts. Le recourant ne revient pas sur la question de la gravité de la peine encourue ni ne plaide qu'elle pourrait dépasser les limites de ce que l'on peut encore qualifier de cas de peu de gravité au sens de l'art. 132 al. 3 CPP. Quoi qu'il en soit, on peut se dispenser d'examiner plus avant cette condition, dans la mesure où la seconde condition – cumulative – de l'art. 132 al. 2 CPP n'est pas réunie. En effet, l'examen des circonstances du cas d'espèce permet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s'est déjà exprimé à leur égard, sans l'intervention d'un avocat, ayant expliqué à la police avoir été poussé au niveau du torse par le plaignant et avoir immédiatement riposté par une gifle. Il a ainsi été pleinement capable d'exposer les circonstances dans lesquelles il avait agi, étant, selon lui, en état de légitime défense ou de défense excusable. À cet égard, on constate que l'intervention de son conseil n'a pas entraîné de changement notable dans sa ligne de défense. Par ailleurs, le fait qu'il ne parle le français, selon lui, que de manière rudimentaire ne suffit pas à fonder la nécessité d'un avocat. Il a été en mesure de s'expliquer, devant les policiers, hors la présence d'un interprète et ne prétend pas avoir mal compris certains éléments du dossier ou certaines questions qui lui ont été posées. En tout état, il pourra, pour la suite de la procédure, demander la présence d'un interprète. Enfin, le fait de solliciter l'audition de témoins et la production de pièces médicales, dont on peine au demeurant à discerner l'utilité eu égard aux éléments probants figurant déjà au dossier, ne rend pas la cause plus complexe – la nature des faits reprochés n'étant pas différente – et ne nécessite à l'évidence pas l'assistance d'un conseil. Il s'ensuit que les conditions cumulatives à l'application de l'art. 132 CPP font défaut. C'est donc à juste titre que le Ministère public a refusé de nommer un défenseur d'office au recourant.</w:t>
      </w:r>
    </w:p>
    <w:p>
      <w:r>
        <w:rPr>
          <w:b/>
        </w:rPr>
        <w:t>E. 4</w:t>
      </w:r>
    </w:p>
    <w:p>
      <w:r>
        <w:t>Justifiée, l'ordonnance querellée sera ainsi confirmée. ![endif]&gt;![if&gt;</w:t>
      </w:r>
    </w:p>
    <w:p>
      <w:r>
        <w:rPr>
          <w:b/>
        </w:rPr>
        <w:t>E. 5</w:t>
      </w:r>
    </w:p>
    <w:p>
      <w:r>
        <w:t>Les frais de la procédure de recours resteront à la charge de l'État (art. 20 RAJ).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