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P/4147/2012 vom 1. Dezember 2014</w:t>
      </w:r>
    </w:p>
    <w:p>
      <w:r>
        <w:t>GE Cour de justice, 2014-12-01, FR</w:t>
      </w:r>
    </w:p>
    <w:p>
      <w:r>
        <w:rPr>
          <w:b/>
        </w:rPr>
        <w:t xml:space="preserve">Quelle: </w:t>
      </w:r>
      <w:r>
        <w:t>https://mcp.opencaselaw.ch/entscheid/ge_gerichte_P_4147_2012</w:t>
      </w:r>
    </w:p>
    <w:p>
      <w:r>
        <w:t>FR: GE_GERICHTE P/4147/2012 du 1 décembre 2014</w:t>
      </w:r>
    </w:p>
    <w:p>
      <w:r>
        <w:t>IT: GE_GERICHTE P/4147/2012 del 1 dicembre 2014</w:t>
      </w:r>
    </w:p>
    <w:p>
      <w:pPr>
        <w:pStyle w:val="Heading2"/>
      </w:pPr>
      <w:r>
        <w:t>Regeste</w:t>
      </w:r>
    </w:p>
    <w:p>
      <w:r>
        <w:t>ESCROQUERIE | CP.146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389 CPP, la procédure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Il n'y a pas lieu d'administrer des preuves sur des faits non pertinents, notoires, connus de l'autorité pénale ou déjà suffisamment prouvés (art. 139 al. 2 CPP). Même si la loi n’exige pas qu’une réquisition de preuves soit motivée, la partie qui ne le fait pas s’expose au risque d’un rejet, l’autorité d’appel ne voyant pas en quoi l’administration de la preuve se justifierait ( AARP/85/2012 du 22 février 2012 consid. 2.1 ; A. DONATSCH / T. HANSJAKOB / V. LIEBER (éds), Kommentar zur Schweizerischen Strafprozessordnung (StPO) , 2 e éd., Zurich 2014, n. 13 ad art. 399).</w:t>
      </w:r>
    </w:p>
    <w:p>
      <w:r>
        <w:rPr>
          <w:b/>
        </w:rPr>
        <w:t>E. 2.2</w:t>
      </w:r>
    </w:p>
    <w:p>
      <w:r>
        <w:t>La demande de l'appelant visant à obtenir l'apport des relevés du compte UBS de Madame B______ n'a été formulée que dans l'une de ses deux déclarations d'appel et plus aucune référence n'y est faite dans son mémoire d'appel motivé de sorte que la CPAR ne dispose d'aucun élément lui permettant de voir en quoi la réquisition se justifierait. En tout état, il est manifeste que les relevés de compte de Madame B______ n'ont aucun rapport avec les faits reprochés à l'appelant de sorte que leur production n'a pas lieu d'être. L'absence de mention à ce sujet dans le mémoire motivé semble d'ailleurs indiquer que l'appelant a de lui-même renoncé à cette demande.</w:t>
      </w:r>
    </w:p>
    <w:p>
      <w:r>
        <w:rPr>
          <w:b/>
        </w:rPr>
        <w:t>E. 3.1</w:t>
      </w:r>
    </w:p>
    <w:p>
      <w:r>
        <w:t>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cf . ATF 119 IV 210 consid. 3 p. 212).</w:t>
      </w:r>
    </w:p>
    <w:p>
      <w:r>
        <w:rPr>
          <w:b/>
        </w:rPr>
        <w:t>E. 3.1.1</w:t>
      </w:r>
    </w:p>
    <w:p>
      <w:r>
        <w:t>Cette infraction se commet en principe par action. Tel est le cas lorsqu'elle est perpétrée par actes concluants (ATF 140 IV 11 consid. 2.3.2 p. 14 ; arrêt du Tribunal fédéral 6B_791/2013 du 3 mars 2014 consid. 3.1.1). Selon la jurisprudence, l'assuré qui a l'obligation de communiquer à son assureur ou, selon le cas, à l'organe compétent, toute modification importante des circonstances déterminantes pour l'octroi d'une prestation, qui ne respecte pas cette obligation et continue à percevoir les prestations octroyées initialement à juste titre ne commet toutefois pas par-là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(arrêt du Tribunal fédéral 6B_791/2013 consid. 3.1.1.).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ou dans le cas d'une personne qui dans sa demande de prestations complémentaires tait un mois de rente et plusieurs actifs et crée par les informations fournies l'impression que celles-ci correspondent à sa situation réelle (ATF 131 IV 83 consid. 2.2 p. 88).</w:t>
      </w:r>
    </w:p>
    <w:p>
      <w:r>
        <w:rPr>
          <w:b/>
        </w:rPr>
        <w:t>E. 3.1.2</w:t>
      </w:r>
    </w:p>
    <w:p>
      <w:r>
        <w:t>Pour qu'il y ait escroquerie, une simple tromperie ne suffit cependant pas ; il faut qu'elle soit astucieuse. Il y a tromperie astucieuse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L'astuce sera également admise lorsque l'auteur exploite un rapport de confiance préexistant propre à dissuader la dupe d'effectuer certaines vérifications (ATF 126 IV 165 consid. 2a p. 171 ; 125 IV 124 consid. 3a p. 127 s. et les arrêts cités). L'astuce ne sera toutefois pas réalisée si la dupe pouvait se protéger avec un minimum d'attention ou éviter l'erreur avec le minimum de prudence que l'on pouvait attendre d'elle (ATF 126 IV 165 consid. 2a p. 171; 122 IV 246 consid. 3a et les arrêts cités). Il n'est pas nécessaire qu'elle fasse preuve de la plus grande diligence et qu'elle recoure à toutes les mesures de prudence possibles (ATF 122 IV 246 consid. 3a p. 248). L'astuce ne sera exclue que si la dupe est coresponsable du dommage parce qu'elle n'a pas observé les mesures de prudence élémentaires qui s'imposaient (ATF 128 IV 18 consid. 3a p. 20).</w:t>
      </w:r>
    </w:p>
    <w:p>
      <w:r>
        <w:rPr>
          <w:b/>
        </w:rPr>
        <w:t>E. 3.1.3</w:t>
      </w:r>
    </w:p>
    <w:p>
      <w:r>
        <w:t>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et la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6B_22/2011 du 23 mai 2011 consid. 2.1.2 et les arrêts cités).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 ACJP/231/2010 du 22 novembre 2010 consid. 2.1).</w:t>
      </w:r>
    </w:p>
    <w:p>
      <w:r>
        <w:rPr>
          <w:b/>
        </w:rPr>
        <w:t>E. 3.1.4</w:t>
      </w:r>
    </w:p>
    <w:p>
      <w:r>
        <w:t>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w:t>
      </w:r>
    </w:p>
    <w:p>
      <w:r>
        <w:rPr>
          <w:b/>
        </w:rPr>
        <w:t>E. 3.1.5</w:t>
      </w:r>
    </w:p>
    <w:p>
      <w:r>
        <w:t>Sur le plan subjectif, l'escroquerie est une infraction intentionnelle. Conformément aux règles générales, agit intentionnellement quiconque commet un crime ou un délit avec conscience et volonté (art. 12 CP). L’auteur agit déjà intentionnellement lorsqu’il tient pour possible la réalisation de l’infraction et l’accepte au cas où celle-ci se produirait.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rPr>
          <w:b/>
        </w:rPr>
        <w:t>E. 3.2</w:t>
      </w:r>
    </w:p>
    <w:p>
      <w:r>
        <w:t>A teneur de l'art. 33 de la loi genevoise sur l'insertion et l'aide sociale individuelle du 22 mars 2007 (LIASI ; J 4 04), le bénéficiaire de l'aide sociale ou son représentant légal doit immédiatement déclarer à l'Hospice général tout fait nouveau de nature à entraîner la modification du montant des prestations d'aide financière qui lui sont allouées ou leur suppression.</w:t>
      </w:r>
    </w:p>
    <w:p>
      <w:r>
        <w:rPr>
          <w:b/>
        </w:rPr>
        <w:t>E. 3.3</w:t>
      </w:r>
    </w:p>
    <w:p>
      <w:r>
        <w:t>En l'espèce, l'Hospice général a attiré à plusieurs reprises l'attention de l'appelant sur son obligation de déclarer toute modification de sa situation financière et a réévalué périodiquement ses ressources, satisfaisant ainsi à son devoir de diligence. Alors même que l'appelant connaissait les impératifs de véracité de ses déclarations, il a tu l'existence de son compte auprès de la banque C______ lorsqu'il a rempli les formulaires de l'Hospice général. De la sorte, il a trompé de manière astucieuse l'institution cantonale qui, sur la base des informations fournies et dont elle pouvait attendre qu'elles soient correctes, lui a versé des prestations auxquelles il n'avait pas le droit, s'appauvrissant d'un montant total de CHF 74'624.50. Ces éléments ne sont au demeurant pas contestés en tant que tels par l'appelant, qui nie en revanche toute intention délictuelle. L'appelant ne saurait prétendre de bonne foi avoir pensé que les fonds crédités sur son compte C______ n'avaient pas besoin d'être déclarés à l'Hospice général parce qu'ils ne lui appartenaient pas et ne pas avoir voulu s'enrichir en cachant leur existence. Hormis ses propres déclarations auxquelles il est difficile d'accorder crédit vu les importantes fluctuations de récit tout au long de la procédure, aucun élément au dossier n'indique en effet que l'appelant n’était pas le propriétaire des sommes en question. Au contraire, il est établi et non contesté que l'appelant était titulaire du compte à la banque C______ et le seul à pouvoir disposer des montants qui s'y trouvaient - représentant 20 ans d'économie selon ce qu'il a indiqué au Ministère public -, ce que ses prélèvements réguliers démontrent encore si cela était nécessaire. A retenir la version selon laquelle l’argent appartenait à sa mère, qui au demeurant s'est refusée à toute déclaration, n'alléguant pas que les fonds lui appartenaient, l’on comprendrait du reste mal pourquoi l’appelant aurait ouvert un compte à son nom plutôt qu’à celui de sa parente sinon pour pouvoir en disposer à sa guise. Enfin, il eût été facile à l'appelant d'expliquer la situation à l'Hospice général s'il était effectivement aussi convaincu de son bon droit et n’avait aucune volonté de tromper astucieusement l’institution. Or l'appelant admet lui-même avoir escompté sur une absence de contrôle de la part de l'Hospice général et avoir tu l’existence de ce compte pour pouvoir améliorer son quotidien. Au vu de ce qui précède, les éléments constitutifs de l'infraction d'escroquerie sont tous réunis. Le jugement entrepris doit dès lors être confirmé et l’appel rejeté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4.2.1.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4.3</w:t>
      </w:r>
    </w:p>
    <w:p>
      <w:r>
        <w:t>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sursis, le juge impartit au condamné un délai d'épreuve de deux à cinq ans (art. 44 CP).</w:t>
      </w:r>
    </w:p>
    <w:p>
      <w:r>
        <w:rPr>
          <w:b/>
        </w:rPr>
        <w:t>E. 4.4</w:t>
      </w:r>
    </w:p>
    <w:p>
      <w:r>
        <w:t>Obtenir, dans le seul but d'améliorer sa propre situation, des prestations d’une institution sociale dont les ressources sont nécessairement limitées et qui doit œuvrer à la protection des plus démunis constitue une faute importante. La période pénale est assez longue et les montants obtenus sans droit conséquents. L’appelant n’a pris conscience de la gravité de ses actes et ne s’est montré prêt à réparer le dommage que par intermittence, sa dernière position consistant à nier toute faute. La collaboration de l'appelant à la procédure n'a pas été bonne. La situation personnelle et économique difficile de l'appelant au moment des faits, de même que l’état psychologique fragile dans lequel la Cour ne doute pas qu'il se trouvait, sans justifier son comportement, l'expliquent en partie. L'appelant n'a pas d'antécédents, ce qui est toutefois neutre du point de vue de la fixation de la peine (ATF 136 IV 1 consid. 2.6). Le premier juge a adéquatement tenu compte de ces différents éléments en arrêtant à 180 le nombre de jours-amende. Le montant du jour-amende, fixé à CHF 30.-, est justifié au regard de la situation économique de l'appelant et doit dès lors également être confirmé. Le sursis prononcé, dont les conditions sont au demeurant réalisées, est acquis à l’appelant (art. 391 al. 2 CPP) et le délai d'épreuve, arrêté à trois ans, n'est pas critiquable. Compte tenu de ce qui précède, le jugement entrepris sera entièrement confirmé et l'appel rejeté.</w:t>
      </w:r>
    </w:p>
    <w:p>
      <w:r>
        <w:rPr>
          <w:b/>
        </w:rPr>
        <w:t>E. 5</w:t>
      </w:r>
    </w:p>
    <w:p>
      <w:r>
        <w:t>Vu l'issue de la procédure d'appel, l'appelant sera débouté de ses conclusions en indemnisation (art. 429 et 436 CPP).</w:t>
      </w:r>
    </w:p>
    <w:p>
      <w:r>
        <w:rPr>
          <w:b/>
        </w:rPr>
        <w:t>E. 6</w:t>
      </w:r>
    </w:p>
    <w:p>
      <w:r>
        <w:t>L'appelant, qui succombe, supportera les frais de la procédure d'appel, lesquels comprennent un émolument de jugement de CHF 1'500.-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