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P/4103/2022 vom 6. April 2023</w:t>
      </w:r>
    </w:p>
    <w:p>
      <w:r>
        <w:t>GE Cour de justice, 2023-04-06, FR</w:t>
      </w:r>
    </w:p>
    <w:p>
      <w:r>
        <w:rPr>
          <w:b/>
        </w:rPr>
        <w:t xml:space="preserve">Quelle: </w:t>
      </w:r>
      <w:r>
        <w:t>https://mcp.opencaselaw.ch/entscheid/ge_gerichte_P_4103_2022</w:t>
      </w:r>
    </w:p>
    <w:p>
      <w:r>
        <w:t>FR: GE_GERICHTE P/4103/2022 du 6 avril 2023</w:t>
      </w:r>
    </w:p>
    <w:p>
      <w:r>
        <w:t>IT: GE_GERICHTE P/4103/2022 del 6 aprile 2023</w:t>
      </w:r>
    </w:p>
    <w:p>
      <w:pPr>
        <w:pStyle w:val="Heading2"/>
      </w:pPr>
      <w:r>
        <w:t>Regeste</w:t>
      </w:r>
    </w:p>
    <w:p>
      <w:r>
        <w:t>ORDONNANCE DE NON-ENTRÉE EN MATIÈRE;CONTRAINTE(DROIT PÉNAL);COMMANDEMENT DE PAYER | CPP.310; CP.181</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1.2</w:t>
      </w:r>
    </w:p>
    <w:p>
      <w:r>
        <w:t>Il en va de même pour les pièces nouvelles produites à l'appui du recours (arrêt du Tribunal fédéral 1B_550/2022 du 17 novembre 2022 consid. 2.1).</w:t>
      </w:r>
    </w:p>
    <w:p>
      <w:r>
        <w:rPr>
          <w:b/>
        </w:rPr>
        <w:t>E. 2</w:t>
      </w:r>
    </w:p>
    <w:p>
      <w:r>
        <w:t>La recourante reproche au Ministère public de n'être pas entré en matière sur sa plainte. ![endif]&gt;![if&gt;</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s.).</w:t>
      </w:r>
    </w:p>
    <w:p>
      <w:r>
        <w:rPr>
          <w:b/>
        </w:rPr>
        <w:t>E. 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137 IV 326 consid. 3.3.1 p. 328; 134 IV 216 consid. 4.1 p. 218).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du Tribunal fédéral 6B_614/2021 du 20 avril 2022 consid. 7.2). Certes, faire notifier un commandement de payer lorsqu'on est fondé à réclamer une somme est licite. En revanche, utiliser un tel procédé comme moyen de pression est clairement abusif, donc illicite (cf. ATF 115 III 18 consid. 3 p. 20 s., 81 consid. 3b p. 87 s.; arrêt du Tribunal fédéral 6B_1082/2021 du 18 mars 2022 consid 2.1). Le fondement de la créance invoquée, le montant indiqué sur le commandement de payer et le contexte de sa notification sont autant d'éléments pertinents dans l'appréciation des circonstances du cas d'espèce. S'agissant du fondement de la créance déduite en poursuite, il suffit que la situation juridique ne soit pas d'une clarté indiscutable pour admettre la licéité, sous l'angle de l'infraction de contrainte, du commandement de payer (R. JORDAN, Les poursuites injustifiées: point de situation , in Revue de l'avocat 2017 p. 131 s. et les arrêts cités). À titre d'exemples, le créancier abuse manifestement de son droit en poursuivant le débiteur lorsqu'il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(arrêt du Tribunal fédéral 6B_378/2016 du 15 décembre 2016 = SJ 2017 I 373).</w:t>
      </w:r>
    </w:p>
    <w:p>
      <w:r>
        <w:rPr>
          <w:b/>
        </w:rPr>
        <w:t>E. 2.3</w:t>
      </w:r>
    </w:p>
    <w:p>
      <w:r>
        <w:t>Lorsque la victime ne se laisse pas intimider et n'adopte pas le comportement voulu par l'auteur, ce dernier est punissable de tentative de contrainte (art. 22 al. 1 CP; ATF 129 IV 262 consid. 2.7 p. 270; 106 IV 125 consid. 2b p. 12).</w:t>
      </w:r>
    </w:p>
    <w:p>
      <w:r>
        <w:rPr>
          <w:b/>
        </w:rPr>
        <w:t>E. 2.4</w:t>
      </w:r>
    </w:p>
    <w:p>
      <w:r>
        <w:t>En l'espèce, lors de son audition, le mis en cause a expliqué que les assurances tenaient les médecins – soit lui-même – comme " les derniers garants de la facturation ". Cela expliquerait pourquoi il est intervenu comme défendeur dans le volet administratif des procédures intentées en lien avec les surfacturations; et non la recourante, comme cela ressort de la lettre du 21 septembre 2020 du Tribunal cantonal valaisan. En ce sens, indépendamment de la responsabilité du mis en cause dans les faits reprochés par les assurances, il n'apparaît pas insoutenable que le précité ait choisi de conclure un accord amiable pour mettre fin au litige arbitral et de verser une somme – même conséquente – en remboursement des prestations litigieuses. Comme il l'a déclaré, une telle démarche a permis d'éviter une accumulation de frais de procédure et de dépens liés aux avocats. En parallèle, il n'est pas contesté que le mis en cause (ou sa société) ait remboursé CHF 550'000.- aux assurances. Or, l'intéressé a toujours soutenu que ce versement devait être, au bout du compte, imputé à recourante, qu'il accuse d'être seule responsable de la surfacturation ayant conduit aux procédures pénales et administratives. À cet égard, il a produit, sous la forme d'extraits, des déclarations de la précitée aux fins d'établir la responsabilité de celle-ci. La première partie du motif inscrit sur les commandements de payer du 24 novembre 2021 va également dans ce sens, avec une formulation volontairement large et l'emploi du conditionnel, pour englober toutes les éventualités qui pourraient découler des problèmes liés à la surfacturation. En cela, la créance du mis en cause contre la recourante apparaît vraisemblable, comme l'a retenu le Ministère public, sans qu'il ne soit nécessaire d'établir si elle est fondée. Les raisons données par le mis en cause pour expliquer la notification des commandements de payer sont restées les mêmes au fil des premières investigations. Comme la recourante refusait de renoncer à la prescription, la poursuite était renouvelée chaque année. Là encore, ces explications trouvent écho avec la seconde partie du motif inscrit sur les actes précités, qui mentionne: " interruption de la prescription ". Le renouvellement annuel aux fins d'interrompre la prescription était, par ailleurs, utile dans la mesure où la validité d'un commandement de payer dure un an (art. 88 al. 2 LP) et qu'au terme de ce délai, sans autre acte de poursuite, la prescription reprend son cours (art. 138 al. 2 CO). En résumé, la nature de la créance invoquée par le mis en cause apparaît fondée et le but visé par les poursuites peut être justifié juridiquement. Partant, il ne peut être retenu que le précité aurait utilisé la voie des poursuites à des fins détournées, par exemple dans le but de nuire à la recourante ou de l'entraver dans d'autres démarches. Quant au montant global apparaissant sur le registre des poursuites de la recourante, il n'est que la conséquence du renouvellement des poursuites et du fait que deux commandements de payer étaient notifiés, un au nom du mis en cause, l'autre au nom de sa société, toujours dans le dessein de sauvegarder au mieux les droits de l'intéressé. Ce point n'est ainsi pas suffisant pour établir que les démarches étaient abusives. C'est donc à bon droit que le Ministère public a conclu que les éléments constitutifs de la tentative de contrainte n'étaient pas réalisés.</w:t>
      </w:r>
    </w:p>
    <w:p>
      <w:r>
        <w:rPr>
          <w:b/>
        </w:rPr>
        <w:t>E. 3</w:t>
      </w:r>
    </w:p>
    <w:p>
      <w:r>
        <w:t>Justifiée, l'ordonnance querellée sera donc confirmée. Le recours, qui s'avère mal fondé, pouvait être rejeté sans échange d'écritures ni débats (art. 390 al. 2 et 5 a contrario CPP). ![endif]&gt;![if&gt;</w:t>
      </w:r>
    </w:p>
    <w:p>
      <w:r>
        <w:rPr>
          <w:b/>
        </w:rPr>
        <w:t>E. 4</w:t>
      </w:r>
    </w:p>
    <w:p>
      <w:r>
        <w:t>La recourante, qui succombe, supportera les frais envers l'État, fixés en intégralité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