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P/4102/2009 vom 7. August 2009</w:t>
      </w:r>
    </w:p>
    <w:p>
      <w:r>
        <w:t>GE Cour de justice, 2009-08-07, FR</w:t>
      </w:r>
    </w:p>
    <w:p>
      <w:r>
        <w:rPr>
          <w:b/>
        </w:rPr>
        <w:t xml:space="preserve">Quelle: </w:t>
      </w:r>
      <w:r>
        <w:t>https://mcp.opencaselaw.ch/entscheid/ge_gerichte_P_4102_2009</w:t>
      </w:r>
    </w:p>
    <w:p>
      <w:r>
        <w:t>FR: GE_GERICHTE P/4102/2009 du 7 août 2009</w:t>
      </w:r>
    </w:p>
    <w:p>
      <w:r>
        <w:t>IT: GE_GERICHTE P/4102/2009 del 7 agosto 2009</w:t>
      </w:r>
    </w:p>
    <w:p>
      <w:pPr>
        <w:pStyle w:val="Heading2"/>
      </w:pPr>
      <w:r>
        <w:t>Regeste</w:t>
      </w:r>
    </w:p>
    <w:p>
      <w:r>
        <w:t>; LÉSION CORPORELLE SIMPLE ; AMENDE | CP.123:1; CP.123.2; CP.47; CP.42.4</w:t>
      </w:r>
    </w:p>
    <w:p>
      <w:pPr>
        <w:pStyle w:val="Heading2"/>
      </w:pPr>
      <w:r>
        <w:t>Erwägungen</w:t>
      </w:r>
    </w:p>
    <w:p>
      <w:r>
        <w:rPr>
          <w:b/>
        </w:rPr>
        <w:t>E. 1</w:t>
      </w:r>
    </w:p>
    <w:p>
      <w:r>
        <w:t>L'appel est recevable pour avoir été déposé selon la forme et dans le délai prescrits (art. 241 et 242 du code de procédure pénale du 29 septembre 1977 CPP - E 4 20).</w:t>
      </w:r>
    </w:p>
    <w:p>
      <w:r>
        <w:rPr>
          <w:b/>
        </w:rPr>
        <w:t>E. 2</w:t>
      </w:r>
    </w:p>
    <w:p>
      <w:r>
        <w:t>L'appelant conclut à son acquittement.</w:t>
      </w:r>
    </w:p>
    <w:p>
      <w:r>
        <w:rPr>
          <w:b/>
        </w:rPr>
        <w:t>E. 2.1</w:t>
      </w:r>
    </w:p>
    <w:p>
      <w:r>
        <w:t>L'art. 123 du code pénal du 21 décembre 1937 (CP - RS 311.0)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w:t>
      </w:r>
    </w:p>
    <w:p>
      <w:r>
        <w:rPr>
          <w:b/>
        </w:rPr>
        <w:t>E. 2.2</w:t>
      </w:r>
    </w:p>
    <w:p>
      <w:r>
        <w:t>Il est établi, à teneur du certificat médical du 9 mars 2009, que suite à l'altercation l'ayant opposée à l'appelant, la plaignante présentait des marques de lacérations diffuses sur le pourtour du cou, ainsi que des plaques rouges, atteintes constitutives des lésions corporelles simples de peu de gravité. L'appelant n'est guère crédible lorsqu'il affirme ne pas être l'auteur de ces lésions. Il ressort en effet des déclarations du témoin A______, qui corroborent celles de la plaignante, que lors de la dispute, l'appelant l'a violemment empoignée pour l'empêcher de quitter son logement, et non l'y contraindre comme il l'allègue, au point de déchirer certains de ses vêtements. Lors de l'audition de la plaignante, qui se trouvait dans un important état de stress, la police a également relevé que ses vêtements étaient déchirés, au niveau du col, et qu'elle présentait des traces rouges de doigts et des griffures sur le cou. Aucun élément au dossier ne permet de conclure que ces lésions auraient une autre origine que celle de l'agression dont a été victime la plaignante. L'appelant n'apporte au demeurant aucun élément propre à le disculper et les vols dont il déclare avoir été victime, ne sauraient justifier, d'autant moins rétroactivement, son comportement à l'égard de la plaignante. La Cour considère dès lors que l'appelant est à l'origine des lésions corporelles simples de peu de gravité subies par la plaignante, si bien que le jugement du Tribunal de police sera confirmé sur ce point.</w:t>
      </w:r>
    </w:p>
    <w:p>
      <w:r>
        <w:rPr>
          <w:b/>
        </w:rPr>
        <w:t>E. 3</w:t>
      </w:r>
    </w:p>
    <w:p>
      <w:r>
        <w:t>Reste à examiner si la peine infligée à l'appelant est justifiée.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3.1.2 Pour l'octroi du sursis au sens de l'art.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3.1.3 Conformément à l'art. 42 al. 4 CP, le juge peut prononcer, en plus d'une peine assortie du sursis, une peine pécuniaire sans sursis ou une amende selon l'art. 106. Il s'agissait, dans le domaine de la délinquance de masse, d'offrir au juge la possibilité d'infliger une sanction perceptible. La règle vise en premier lieu à remédier à la problématique de la délimitation entre l'amende (pour les contraventions) et la peine pécuniaire avec sursis (pour les délits) (Message du Conseil fédéral, du 29 juin 2005, relatif à la modification du code pénal dans sa version du 13 décembre 2002 et du code pénal militaire dans sa version du 21 mars 2003, FF 2005 4425 ss, spéc. p. 4695, 4699 ss, 4705 ss). Les infractions de masse, punies d'une simple amende lorsqu'elles sont de gravité minime, doivent pouvoir être réprimées d'une sanction ferme, lorsqu'elles atteignent le seuil de gravité des délits. Dans cette mesure, soit dans le domaine de la criminalité la moins grave, l'art. 42 al. 4 CP tend à réaliser l'égalité de traitement dans la sanction (ATF 134 IV 82 consid. 8 p. 94-96). Cette disposition poursuit également des objectifs de prévention générale (ATF 134 IV 1 consid. 4.5.1 p. 8; arrêt du Tribunal fédéral 6B_152/2007 du 13 mai 2008 consid. 7.1.1 et 7.1.2). La peine pécuniaire ferme additionnelle, respectivement l'amende, contribuent par ailleurs à accroître le potentiel coercitif relativement faible de la peine pécuniaire avec sursis, dans une optique de prévention générale et spéciale. Il s'agit d'une forme d'admonition à l'adresse du condamné afin d'attirer son attention (et autant que nécessaire l'attention générale) sur le sérieux de la situation tout en lui démontrant ce qui l'attend s'il ne s'amende pas (F. BOMMER, Die Sanktionen im neuen AT StGB - Ein Überblick, in: Revision des Allgemeinenen Teils des Strafgesetzbuches , Berne 2007, p. 35). Le juge fixe l'amende et la peine privative de liberté de substitution en tenant compte de la situation de l'auteur afin que la peine corresponde à la faute commise (art. 106 al. 3 CP). La règle précise clairement que la capacité économique (« en tenant compte de la situation ») joue un rôle central pour la fixation de l'amende également, même si le juge dispose sur ce point d'un pouvoir d'appréciation plus étendu que dans le système des jours-amende. Le système de la fixation globale de l'amende se révèle ainsi en général moins lourd à mettre en œuvre, mais la nécessité de fixer dans le jugement une peine privative de liberté de substitution relativise notablement cet allégement. Le juge dispose, en ce qui concerne la fixation de la peine privative de liberté de substitution, d'un pouvoir d'appréciation plus étendu. Il y a cependant ceci de particulier que lorsqu'une telle peine doit être fixée pour une amende additionnelle au sens de l'art. 42 al. 4 CP, le juge a déjà fixé le montant du jour-amende pour la peine privative de liberté assortie du sursis, partant la capacité économique de l'auteur. Il apparaît donc adéquat d'utiliser le montant du jour-amende comme taux de conversion et de diviser l'amende additionnelle par ce montant (S. HEIMGARTNER, Basler Kommentar, Strafgesetzbuch I , 2e éd., Bâle 2007, art. 106 n. 16). La peine privative de liberté de substitution ne peut être inférieure à un jour (art. 106 al. 2 CP) et ce même lorsque le montant du jour-amende est supérieur au montant de l'amende. La loi prescrit en effet explicitement - contrairement à l'ancien droit (ATF 108 IV 1 ) - un minimum, d'une part, et, d'autre part, on ne verrait pas pourquoi le non-paiement fautif d'une amende additionnelle devrait rester impuni, alors que le même comportement, s'agissant d'une peine pécuniaire, aurait pour conséquence une peine privative de liberté de substitution (arrêt du Tribunal fédéral 6B_152/2007 précité consid. 7.1.3; R. BINGGELI, Die Geldstrafe , in: F. BÄNZIGER /A. HUBSCHMID / J. SOLLBERGER [Hrsg.], Zur Revision des Allgemeinen Teils des Schweizerischen Strafrechts und zum neuen materiellen Jugendstrafrecht , 2e éd., Berne 2006, p. 84). 3.2.1 La faute de l'appelant est relativement lourde, nonobstant la nature des lésions, de peu de gravité, subies par la plaignante, dès lors qu'il s'en est pris sans raison à l'intégrité corporelle de celle-ci, sans égard aux conséquences possibles de son comportement, ce qui dénote une agressivité mal maîtrisée. Les mobiles de l'appelant sont égoïstes. Ils trouvent sans doute leur origine dans la décision de la plaignante de quitter son service pour retourner vivre dans son pays d'origine. L'appelant, qui n'a pas collaboré à l'instruction, n'a pas non plus pris conscience du caractère répréhensible de ses actes, qu'il a persisté à contester. Il n'a présenté aucune excuse à la plaignante et ne peut se prévaloir d'aucune circonstance atténuante. La peine pécuniaire de 30 jours-amende infligée à l'appelant par les premiers juges sera confirmée, à l'instar du montant du jour-amende, arrêté à CHF 30.-, qui tient compte des charges, respectivement des revenus de l'appelant qui est retraité. Au vu du seul antécédent judiciaire de l'appelant, d'une gravité relative, et de l'interdiction de la reformatio in pejus, le jugement du Tribunal de police sera également confirmé en tant qu'il met l'appelant au bénéfice du sursis et fixe le délai d'épreuve à 3 ans, soit à une durée moyenne suffisamment longue pour le dissuader de récidiver et l'amener à mieux maîtriser son agressivité. Pour les mêmes motifs, il n'y a pas lieu de révoquer le sursis accordé le 24 mai 2007 par le Tribunal de police à la peine pécuniaire de 5 jours-amende à CHF 30.- (art. 46 CP), point qui n'a pas été examiné par les premiers juges. 3.2.2 S'agissant de l'amende de CHF 200.- infligée à l'appelant à titre de sanction immédiate, elle sera également confirmée. Il se justifie en effet, sous l'angle de la prévention spéciale, que l'appelant prenne conscience du caractère illicite de ses actes. Le montant de l'amende est par ailleurs modéré, de sorte que celle-ci, combinée avec la peine pécuniaire avec sursis infligée à l'appelant, sanctionne de manière adéquate son comportement et tient compte correctement de la faute commise. Comme l'ont retenu les premiers juges, la peine privative de liberté de substitution, en cas de non-paiement fautif de l'amende, doit être arrêtée à 6 jours, eu égard au montant du jour-amende fixé à CHF 30.-, conformément aux principes jurisprudentiels rappelés ci-dessus.</w:t>
      </w:r>
    </w:p>
    <w:p>
      <w:r>
        <w:rPr>
          <w:b/>
        </w:rPr>
        <w:t>E. 4</w:t>
      </w:r>
    </w:p>
    <w:p>
      <w:r>
        <w:t>L'appelant, qui succombe, sera condamné aux frais de la procédure d'appel, qui comprendront un émolument de CHF 400.- (art. 97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