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P/4098/2018 vom 3. Juli 2019</w:t>
      </w:r>
    </w:p>
    <w:p>
      <w:r>
        <w:t>GE Cour de justice, 2019-07-03, FR</w:t>
      </w:r>
    </w:p>
    <w:p>
      <w:r>
        <w:rPr>
          <w:b/>
        </w:rPr>
        <w:t xml:space="preserve">Quelle: </w:t>
      </w:r>
      <w:r>
        <w:t>https://mcp.opencaselaw.ch/entscheid/ge_gerichte_P_4098_2018</w:t>
      </w:r>
    </w:p>
    <w:p>
      <w:r>
        <w:t>FR: GE_GERICHTE P/4098/2018 du 3 juillet 2019</w:t>
      </w:r>
    </w:p>
    <w:p>
      <w:r>
        <w:t>IT: GE_GERICHTE P/4098/2018 del 3 luglio 2019</w:t>
      </w:r>
    </w:p>
    <w:p>
      <w:pPr>
        <w:pStyle w:val="Heading2"/>
      </w:pPr>
      <w:r>
        <w:t>Regeste</w:t>
      </w:r>
    </w:p>
    <w:p>
      <w:r>
        <w:t>OPPOSITION À UN ACTE DE L'AUTORITÉ ; DISPOSITIONS PÉNALES DE LA LSTUP ; RÉVOCATION(EN GÉNÉRAL) | CP.286; CP.13.al1; CP.46.al1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2.2</w:t>
      </w:r>
    </w:p>
    <w:p>
      <w:r>
        <w:t>.2. En l'espèce, il est établi par le rapport de police et les déclarations de son auteur en audience de confrontation devant le MP que l'appelant a pris la fuite en courant alors que la police lui avait fait l'injonction de s'arrêter. L'appelant, qui avait au demeurant admis les faits lors de sa première audition, a d'ailleurs été interpellé au quai des Lavandières alors que la patrouille motorisée était intervenue initialement au quai de l'Ile, ce qui démontre qu'il s'est déplacé de plusieurs dizaines de mètres avant d'être interpellé. L'appelant, comme ses comparses, a évidemment entendu l'injonction de la police et il ne convainc pas en prétendant le contraire dans l'une de ses versions. Les éléments constitutifs de l'infraction d'empêchement d'accomplir un acte officiel sont donc réalisés et le jugement entrepris sera confirmé sur ce point.</w:t>
      </w:r>
    </w:p>
    <w:p>
      <w:r>
        <w:rPr>
          <w:b/>
        </w:rPr>
        <w:t>E. 2.3</w:t>
      </w:r>
    </w:p>
    <w:p>
      <w:r>
        <w:t>.2. En l'espèce, l'auteur du rapport de police a confirmé devant le procureur avoir identifié l'appelant par ses habits très reconnaissables, et l'avoir vu jeter un sachet dont il est apparu qu'il contenait de la marijuana, alors qu'il se trouvait à une distance de cinq à sept mètres. Même à une heure tardive, à un endroit qui n'était donc pas éclairé comme en plein jour, une erreur sur la personne peut donc être écartée, les circonstances de faits ne laissant pas subsister de doute sérieux et irréductible. La CPAR relève d'ailleurs que l'appelant, qui a contesté consommer et vendre de la drogue, s'est à nouveau rendu coupable de détention et de vente de stupéfiants en septembre et de détention en novembre 2018, alors que la présente procédure était en cours. L'appel sera dès lors également rejeté sur ce point.</w:t>
      </w:r>
    </w:p>
    <w:p>
      <w:r>
        <w:rPr>
          <w:b/>
        </w:rPr>
        <w:t>E. 2.4</w:t>
      </w:r>
    </w:p>
    <w:p>
      <w:r>
        <w:t>.2. L'appelant n'était pas porteur de son passeport national lors de son contrôle, ce qu'il ne conteste pas. Il ne pourra être mis au bénéfice de la négligence, tant ses déclarations ont varié en cours de procédure sur le sort de ce passeport, tantôt oublié chez sa mère, devenue en cours de procédure sa mère de coeur puis sa tante, tantôt perdu en Afrique à une date d'ailleurs non précisée. Il y a bien plutôt lieu de retenir que l'appelant ne dispose selon toute vraisemblance pas de papiers d'identité, ce que révèle d'ailleurs ses condamnations successives pour violations de la LEI, et qu'il a dès lors pénétré sur le territoire suisse démuni de tels papiers avec conscience et volonté. L'appel sera dès lors intégralement rejeté s'agissant de la culpabilité.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3.1.3.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3.2</w:t>
      </w:r>
    </w:p>
    <w:p>
      <w:r>
        <w:t>La faute n'est pas de peu d'importance. L'appelant a agi par mépris de la législation en vigueur, contre trois biens juridiques distincts, soit l'autorité publique, en matière de stupéfiants et de droit des étrangers. Sa prise de conscience est inexistante, sa collaboration à la procédure médiocre. Il a contesté l'essentiel des faits qui lui étaient reprochés et a grandement varié dans ses déclarations, non seulement sur les faits reprochés mais aussi sur des éléments aussi peu incriminants que son lieu de vie ou ses relations familiales dans la région genevoise. Il avait déjà été condamné à deux reprises au moment des faits, pour des infractions spécifiques, et l'a été encore depuis à deux reprises, démontrant ainsi qu'il s'est amplement implanté dans la délinquence. Sa situation personnelle n'est certes pas particulièrement favorable. Il n'a selon ses dires jamais été scolarisé. Il dispose cependant d'un permis de séjour italien, ce qui lui permet de résider et de gagner sa vie légalement dans ce pays. Il y a concours entre deux infractions, soit celle à l'art. 19 al. 1 LStup, passible d'une peine privative de liberté de trois ans au plus ou d'une peine pécuniaire, et celle à l'art. 115 LEI, passible d'une peine privative de liberté d'un an au plus ou d'une peine pécuniaire. L'art. 286 CP prévoit en revanche une peine pécuniaire de 30 jours-amende au plus. Compte tenu des précédentes peines pécuniaires qui n'ont manifestement pas eu l'effet dissuasif escompté, seule une peine privative de liberté est désormais envisageable pour les infractions à la LStup et à la LEI. L'infraction abstraitement la plus grave est celle en matière de stupéfiant, et la peine y relative doit être augmentée en juste proportion pour sanctionner l'infraction en matière de droit des étrangers. Eu égard aux critères rappelés ci-dessus, la peine privative de liberté de 60 jours prononcée par le premier juge paraît adéquate et conforme au droit, même clémente. C'est également à juste titre que le premier juge a ordonné la révocation des deux sursis initialement accordés à l'appelant, compte tenu de la récidive spécifique, les différentes condamnations prononcées à l'encontre de l'appelant démontrant qu'il y a malheureusement lieu de prévoir qu'il commettra de nouvelles infractions. En application de l'art. 46 al. 1 CP dernière phrase, une peine d'ensemble doit par contre être prononcée avec la peine pécuniaire sanctionnant l'infraction à l'art. 286 CP. Cette peine d'ensemble sera arrêtée à 60 jours-amende, à CHF 10.- l'unité compte tenu de la situation personnelle de l'appelant. Le jugement entrepris sera dès lors modifié sur cet unique point.</w:t>
      </w:r>
    </w:p>
    <w:p>
      <w:r>
        <w:rPr>
          <w:b/>
        </w:rPr>
        <w:t>E. 4</w:t>
      </w:r>
    </w:p>
    <w:p>
      <w:r>
        <w:t>L'appelant, qui succombe très largement, supportera les 9/10 èmes des frais de la procédure envers l'Etat, comportant un émolument de CHF 1'800.- (art. 428 CPP).</w:t>
      </w:r>
    </w:p>
    <w:p>
      <w:r>
        <w:rPr>
          <w:b/>
        </w:rPr>
        <w:t>E. 5</w:t>
      </w:r>
    </w:p>
    <w:p>
      <w:r>
        <w:t>Considéré globalement, l'état de frais produit par le défenseure d'office de l'appelant paraît adéquat et conforme aux dispositions et principes régissant l'assistance judiciaire pénale, sous réserve de l'heure d'activité de cheffe d'étude mentionnée pour le 27 septembre 2018, laquelle fait sans doute référence à l'audience de première instance déjà indemnisée. Sa rémunération sera ainsi arrêtée à CHF 756.05 pour une heure d'activité au tarif de CHF 200.-/heure et trois heures d'activité au tarif de CHF 110.- de l'heure, plus CHF 55.- de vacation pour l'audience d'appel, plus la majoration forfaitaire de 20% et l'équivalent de la TVA au taux de 7.7% en CHF 54.05.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