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P/4083/2016 vom 6. Dezember 2016</w:t>
      </w:r>
    </w:p>
    <w:p>
      <w:r>
        <w:t>GE Cour de justice, 2016-12-06, FR</w:t>
      </w:r>
    </w:p>
    <w:p>
      <w:r>
        <w:rPr>
          <w:b/>
        </w:rPr>
        <w:t xml:space="preserve">Quelle: </w:t>
      </w:r>
      <w:r>
        <w:t>https://mcp.opencaselaw.ch/entscheid/ge_gerichte_P_4083_2016</w:t>
      </w:r>
    </w:p>
    <w:p>
      <w:r>
        <w:t>FR: GE_GERICHTE P/4083/2016 du 6 décembre 2016</w:t>
      </w:r>
    </w:p>
    <w:p>
      <w:r>
        <w:t>IT: GE_GERICHTE P/4083/2016 del 6 dicembre 2016</w:t>
      </w:r>
    </w:p>
    <w:p>
      <w:pPr>
        <w:pStyle w:val="Heading2"/>
      </w:pPr>
      <w:r>
        <w:t>Regeste</w:t>
      </w:r>
    </w:p>
    <w:p>
      <w:r>
        <w:t>IN DUBIO PRO REO ; POUVOIR D'APPRÉCIATION ; PROFIL D'ADN ; FORCE PROBANTE ; VOL(DROIT PÉNAL) ; VIOLATION DE DOMICILE ; DOMMAGES À LA PROPRIÉTÉ(DROIT PÉNAL) ; FIXATION DE LA PEINE ; ANTÉCÉDENT ; RÉVOCATION DU SURSIS ; PEINE D'ENSEMBLE | CP89; CP139.1; CP186; CP144.1; LEtr115.1a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La Chambre limite son examen aux violations décrites dans l'acte d'appel (art. 404 al. 1 CPP), sauf en cas de décisions illégales ou inéquitables (art. 404 al. 2 CPP).</w:t>
      </w:r>
    </w:p>
    <w:p>
      <w:r>
        <w:rPr>
          <w:b/>
        </w:rPr>
        <w:t>E. 2</w:t>
      </w:r>
    </w:p>
    <w:p>
      <w:r>
        <w:t>e éd., Bâle 2014, art. 182 n. 2 ; A. KUHN / Y. JEANNERET (éds), Commentaire romand : Code de procédure pénale suisse, Bâle 2011, art. 182 n. 2, 7 et 10)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Université de Lausanne 2011, p. 38 ; M. PHIPPS / S. PETRICEVIC, The tendency of individuals to transfer DNA to handled items, in Forensic Science International 168, 2007,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 Morphological and genetic studies, in Forensic Science International , Genetics 11 (2014),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(A. LOWE / C. MURRAY / J. WHITAKER / G. TULLY / P. GILL, The propensity of individuals to deposit DNA and secondary transfer of low level DNA from individuals to inert surfaces , in Forensic Science International 129, 2002,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in : Y. SCHWANDER [ed.], Pratique juridique actuelle – PJA 2013, p. 1217 ss, p. 1220-1221). 2.2.1. L'art. 115 al. 1 LEtr réprime, notamment, le comportement de celui qui contrevient aux dispositions sur l'entrée en Suisse prévues à l'art. 5 LEtr (let. a) ou y séjourne illégalement (let. b). 2.2.2. Aux termes de l'art. 5 al. 1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L'entrée sur le territoire sera ainsi refusée à celui qui ne remplit pas l'ensemble de ces conditions (M. CARONI / T. GÄCHTER / D. THURNHERR (éds), op. cit. n. 15 ad art. 5). L'interdiction d'entrée au sens du droit des étrangers (art. 67 LEtr) vise à empêcher l'entrée ou le retour en Suisse d'un étranger dont le séjour en Suisse est indésirable (arrêt du Tribunal fédéral 6B_173/2013 du 19 août 2013 consid. 2.3). 2.3.1. En l'espèce, la prévention de l'appelant repose principalement sur les résultats de l'analyse de l'ADN retrouvé sur la fenêtre extérieure du logement cambriolé. S'il est vrai qu'une telle expertise constitue un moyen de preuve que le juge apprécie librement, il n'en demeure pas moins qu'il s'agit d'un élément très fort, dont le juge ne peut s'écarter qu'en présence de motifs sérieux, en fonction de circonstances concrètes qui ne sont en l'espèce pas réalisées. Il n'y a en effet aucun élément au dossier qui permette de mettre en doute la valeur probante des rapports d'expertise. Les critiques formulées par la défense sur les analyses ADN – dont la fiabilité n'a été remise en cause qu'au stade de l'appel – sont ainsi d'ordre purement théorique. Se pose également la question de savoir si la présence de la trace biologique, appartenant à l'appelant, qui a été retrouvée sur la fenêtre du logement cambriolé peut être attribuée, in casu , à un transfert secondaire d'ADN. Or, au vu de la doctrine évoquée précédemment, le risque d'un transfert secondaire est faible. La CPAR ne saurait par conséquent remettre en cause la valeur probante de l'analyse d'ADN pour le seul motif qu'un faible risque d'erreur existe, ce d'autant qu'en tout état de cause, un tel transfert secondaire implique nécessairement la présence de l'appelant sur les lieux, d'après la doctrine précédemment citée. La CPAR relève par ailleurs que l'on ne se trouve pas dans la situation où un recoupement, sur la base d'une analyse ADN, constituerait le seul lien entre le prévenu, que rien ne semblerait lier aux faits de la cause, et une infraction. En effet, il est avéré que l'appelant a déjà été condamné à plusieurs reprises, en Suisse, notamment pour des cambriolages et qu'il a admis avoir déjà cambriolé par le passé à proximité de D______. En outre, l'appelant, qui venait de sortir de prison, n'a pas été en mesure de donner des explications concernant son emploi du temps le soir des faits et a, au contraire, fourni des explications contradictoires et incohérentes. Il est en outre impossible que son ADN ait été déposé sur la fenêtre extérieure du logement cambriolé trois ans avant les faits, compte tenu des nombreuses intempéries et des nettoyages depuis lors. Au vu de ce qui précède, la CPAR considère qu'il existe un faisceau d'indices convergents qui lui permet d'avoir l'intime conviction que l'appelant a commis le cambriolage qui lui est reproché. Ce comportement réalise les éléments constitutifs des infractions aux articles 139 ch. 1, 144 al. 1 et 186 CP, ce qui n'est en soi pas contesté. Partant, les infractions précitées sont réalisées et le verdict de culpabilité rendu à l'encontre de l'appelant sera confirmé. 2.3.2. Il est établi que l'appelant s'est rendu, d'après ses propres aveux, à plusieurs reprises dans un bar à Thônex, bien qu'il fît l'objet d'une interdiction d'entrée en Suisse valable jusqu'au 16 mars 2020. C'est d'ailleurs en Suisse, à Thônex, que l'appelant a été interpellé le 26 février 2016 par les gardes-frontière suisses. En revanche, il ressort des déclarations de l'appelant que celui-ci a résidé en France et non en Suisse, dès sa sortie de prison en novembre 2015, ce qu'aucune pièce du dossier ne vient contredire. Sa présence à Genève, le jour de son arrestation, est par conséquent constitutive d'une infraction d'entrée illégale au sens de l'art. 115 al. 1 let. a LEtr, comme décrit dans l'acte d'accusation, et non de séjour illégal. Partant, le jugement querellé sera réformé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3 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Code pénal I : art. 1-100 CP, Bâle 2009, n. 55 ad art. 47). 3.1.2.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3.1.3. L'art. 42 al. 2 CP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3.1.4.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toutefois sans pertinence (arrêt du Tribunal fédéral 6B_663/2009 du 19 octobre 2009 consid. 1.2). La commission d'un nouveau crime ou d'un nouveau délit ne constitue que l'un des facteurs à considérer, le pronostic quant à la capacité de l'intéressé à vivre de manière conforme à la loi dans le futur devant à nouveau être établi (G. STRATENWERTH, Schweizerisches Strafrecht, Allgemeiner Teil II , 2 e éd., Berne 2006, § 5 n. 95 p. 164 et M. NIGGLI / H. WIPRÄCHTIGER, Basler Kommentar Strafrecht I : Art. 1-110 StGB, Jugendstrafgesetz , 2 e éd., Bâle 2007, n. 3 ad art. 89).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3.1.5.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3.1.6. Les infractions de vol, dommages à la propriété, violation de domicile et entrée illégale sont réprimées d'une peine privative de liberté de cinq ans, respectivement trois et un an, au plus, ou d'une peine pécuniaire.</w:t>
      </w:r>
    </w:p>
    <w:p>
      <w:r>
        <w:rPr>
          <w:b/>
        </w:rPr>
        <w:t>E. 3.2</w:t>
      </w:r>
    </w:p>
    <w:p>
      <w:r>
        <w:t>En l'espèce, la faute de l'appelant est grave. Il n'a pas hésité à pénétrer illégalement en Suisse, faisant fi de l'interdiction d'entrée sur le territoire qui lui avait été valablement notifiée. Il n'a pas hésité non plus à reprendre son activité délictuelle en commettant un cambriolage un mois seulement après sa libération conditionnelle. Son comportement dénote un mépris total pour le patrimoine d'autrui. Son mobile est purement égoïste, dès lors qu'il a agi par appât du gain, ce que sa situation ne justifiait pas, puisqu'il avait un logement et des revenus, selon ses dires. Sa collaboration à la procédure a été mauvaise, dès lors qu'il a persisté à nier les faits qui lui étaient reprochés et à donner des explications fantaisistes. Il y a cependant lieu de réduire la peine infligée par le premier juge, dès lors que l'appelant a été reconnu coupable d'entrée illégale, commise à une seule reprise, et non de séjour illégal. L'appelant a plusieurs antécédents récents pour des infractions similaires. La fréquence des condamnations témoigne ainsi de la régularité de son activité délictuelle et de son absence d'amendement. Considérant qu'il a récidivé immédiatement après sa sortie de prison pour des infractions de même type, après avoir été condamné à plusieurs peines privatives de liberté, le pronostic se présente sous un jour très défavorable. Le comportement de l'appelant démontre en outre son mépris de la législation suisse en vigueur. Une peine ferme seule s'avérant insuffisante pour détourner l'appelant de la commission de nouvelles infractions, la révocation de la libération conditionnelle s'impose. Conformément à l'art. 89 al. 6 CP, les conditions d'une peine privative de liberté étant réunies s'agissant des nouvelles infractions et celle-ci entrant en concours avec le solde d'un an, cinq mois et 29 jours devenu exécutoire compte tenu de la révocation de la libération conditionnelle, une peine d'ensemble de 21 mois, sous déduction de 284 jours de détention avant jugement, paraît appropriée. Le jugement entrepris sera réformé sur ce point.</w:t>
      </w:r>
    </w:p>
    <w:p>
      <w:r>
        <w:rPr>
          <w:b/>
        </w:rPr>
        <w:t>E. 4</w:t>
      </w:r>
    </w:p>
    <w:p>
      <w:r>
        <w:t>L'appelant, qui succombe pour l'essentiel, supportera les 3/4 des frais de la procédure envers l'Etat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5.2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125.- pour un collaborateur (let. b) et de CHF 200.- (let. c) pour un chef d'étude. En cas d'assujettissement, l'équivalent de la TVA est versé en sus.</w:t>
      </w:r>
    </w:p>
    <w:p>
      <w:r>
        <w:rPr>
          <w:b/>
        </w:rPr>
        <w:t>E. 5.3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5.4</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5.5</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w:t>
      </w:r>
    </w:p>
    <w:p>
      <w:r>
        <w:rPr>
          <w:b/>
        </w:rPr>
        <w:t>E. 5.6</w:t>
      </w:r>
    </w:p>
    <w:p>
      <w:r>
        <w:t>En l'absence d'une décision autorisant exceptionnellement la désignation de deux défenseurs d'office ou conseils juridiques gratuits, les contacts de l'avocat désigné avec un second avocat, qui doit alors être qualifié de défenseur privé, ne sont pas couverts par l'assistance juridique ( AARP/295/2015 du 12 juillet 2015 consid. 8.2.2.1).</w:t>
      </w:r>
    </w:p>
    <w:p>
      <w:r>
        <w:rPr>
          <w:b/>
        </w:rPr>
        <w:t>E. 5.7</w:t>
      </w:r>
    </w:p>
    <w:p>
      <w:r>
        <w:t>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telles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5.8</w:t>
      </w:r>
    </w:p>
    <w:p>
      <w:r>
        <w:t>En l'occurrence, le décompte produit par le défenseur d'office de l'appelant est adéquat et conforme aux principes exposés, à l'exception des postes "annonce d'appel" (15 minutes) et "déclaration d'appel" (30 minutes), dès lors qu'il s'agit d'une activité couverte par le forfait pour l'activité diverse, et des deux postes "conférence interne" (45 minutes chacun), de telles séances n'ayant pas à être indemnisées par l'assistance juridique en application des principes précédemment exposés. Il y a également lieu d'ajouter, au tarif de collaborateur, la durée de l'audience de l'appel (45 minutes) et de l'audience de lecture du dispositif (15 minutes).</w:t>
      </w:r>
    </w:p>
    <w:p>
      <w:r>
        <w:rPr>
          <w:b/>
        </w:rPr>
        <w:t>E. 5.9</w:t>
      </w:r>
    </w:p>
    <w:p>
      <w:r>
        <w:t>En conclusion, l'indemnisation requise pour la procédure d'appel sera arrêtée à CHF 2'902.50 correspondant à 17h45 d'activité au tarif de CHF 125.-/heure et une heure d'activité au tarif de CHF 200.-/heure, plus la majoration forfaitaire de 20% (CHF 483.75).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