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P/4079/2023 vom 27. Juni 2023</w:t>
      </w:r>
    </w:p>
    <w:p>
      <w:r>
        <w:t>GE Cour de justice, 2023-06-27, FR</w:t>
      </w:r>
    </w:p>
    <w:p>
      <w:r>
        <w:rPr>
          <w:b/>
        </w:rPr>
        <w:t xml:space="preserve">Quelle: </w:t>
      </w:r>
      <w:r>
        <w:t>https://mcp.opencaselaw.ch/entscheid/ge_gerichte_P_4079_2023</w:t>
      </w:r>
    </w:p>
    <w:p>
      <w:r>
        <w:t>FR: GE_GERICHTE P/4079/2023 du 27 juin 2023</w:t>
      </w:r>
    </w:p>
    <w:p>
      <w:r>
        <w:t>IT: GE_GERICHTE P/4079/2023 del 27 giugno 2023</w:t>
      </w:r>
    </w:p>
    <w:p>
      <w:pPr>
        <w:pStyle w:val="Heading2"/>
      </w:pPr>
      <w:r>
        <w:t>Regeste</w:t>
      </w:r>
    </w:p>
    <w:p>
      <w:r>
        <w:t>ORDONNANCE DE NON-ENTRÉE EN MATIÈRE;CAS BÉNIN | CPP.310; CP.139; CP.52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Les faits et moyens de preuve nouveaux sont recevables devant l'instance de recours (arrêt du Tribunal fédéral 1B_550/2020 du 19 novembre 2022 consid. 2.1), de sorte que les pièces nouvelles produites par la recourante seront admises.![endif]&gt;![if&gt;</w:t>
      </w:r>
    </w:p>
    <w:p>
      <w:r>
        <w:rPr>
          <w:b/>
        </w:rPr>
        <w:t>E. 3</w:t>
      </w:r>
    </w:p>
    <w:p>
      <w:r>
        <w:t>La Chambre pénale de recours peut décider d'emblée de traiter sans échange d'écritures ni débats les recours manifestement irrecevables ou mal fondés (art. 390 al. 2 et 5 a contrario CPP). ![endif]&gt;![if&gt; Tel est le cas en l'occurrence, au vu des considérations qui suivent.</w:t>
      </w:r>
    </w:p>
    <w:p>
      <w:r>
        <w:rPr>
          <w:b/>
        </w:rPr>
        <w:t>E. 4</w:t>
      </w:r>
    </w:p>
    <w:p>
      <w:r>
        <w:t>La recourante fait grief au Ministère public de ne pas être entré en matière sur sa plainte.![endif]&gt;![if&gt;</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et les références citées).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 Commentaire romand : Code de procédure pénale suisse, 2e éd., Bâle 2019, n. 9 ad art. 310).</w:t>
      </w:r>
    </w:p>
    <w:p>
      <w:r>
        <w:rPr>
          <w:b/>
        </w:rPr>
        <w:t>E. 4.2</w:t>
      </w:r>
    </w:p>
    <w:p>
      <w:r>
        <w:t>Selon l'art. 310 al. 1 let. c cum art. 8 al. 1 CPP, une non-entrée en matière doit également être prononcée lorsqu'il peut être renoncé à toute poursuite ou à toute sanction en vertu de dispositions légales. Tel est notamment le cas si la culpabilité de l'auteur et les conséquences de son acte sont peu importantes (art. 52 CP).![endif]&gt;![if&gt; Aux termes de l'art. 52 CP, l'autorité compétente renonce à poursuivre l'auteur, à le renvoyer devant le juge ou à lui infliger une peine, si tant sa culpabilité que les conséquences de son acte sont de peu d'importance. Il s'agit donc de deux conditions cumulatives (M. NIGGLI / H. WIPRÄCHTIGER (éds), Basler Kommentar, Strafrecht I, 4ème éd., 2019, n. 19 ad art. 52).</w:t>
      </w:r>
    </w:p>
    <w:p>
      <w:r>
        <w:rPr>
          <w:b/>
        </w:rPr>
        <w:t>E. 4.3</w:t>
      </w:r>
    </w:p>
    <w:p>
      <w:r>
        <w:t>L'art. 139 ch. 1 CP punit, du chef de vol, celui qui, pour se procurer ou procurer à un tiers un enrichissement illégitime, aura soustrait une chose mobilière appartenant à autrui dans le but de se l'approprier. ![endif]&gt;![if&gt;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(arrêt du Tribunal fédéral 6B_311/2013 du 28 mai 2013 consid. 2.4). Un enrichissement consiste en une amélioration de la situation économique. Il peut résulter du seul fait de vouloir tirer profit de la chose, même si celle-ci est sans valeur. L’avantage patrimonial sur lequel le dessein d’enrichissement porte ne correspond pas forcément à la valeur de la chose soustraite, laquelle peut même être dénuée de toute valeur. L’enrichissement peut consister en un avantage patrimonial indirect que le voleur se procure en usant de la chose soustraite. L’avantage patrimonial peut ainsi correspondre à la contre-valeur que l’on reçoit en échange de la chose volée, comme pour les titres de rationnement ou découler de l’emploi que l’on en fait, comme c’est par exemple le cas d’une lettre compromettante volée en vue de chantage (ATF 111 IV 74 consid. 1; A. MACALUSO / L. MOREILLON / N. QUELOZ (éds), Commentaire romand, Code pénal II, vol. II, Partie spéciale : art. 111-392 CP, Bâle 2017, n. 49 ad art. 139). Le dessein d’enrichissement illégitime doit exister au moment de la soustraction, élément caractéristique du vol (A. MACALUSO / L. MOREILLON / N. QUELOZ (éds), op cit. , n. 50 ad art. 139).</w:t>
      </w:r>
    </w:p>
    <w:p>
      <w:r>
        <w:rPr>
          <w:b/>
        </w:rPr>
        <w:t>E. 4.4</w:t>
      </w:r>
    </w:p>
    <w:p>
      <w:r>
        <w:t>En l'espèce, il ressort des éléments de la procédure que la mise en cause aurait dérobé l'appareil dentaire de recourante mais que celle-ci l'a récupéré.![endif]&gt;![if&gt; Toutefois, on ne peut savoir si les autres conditions de l'infraction de vol sont réalisées, en particulier, celle du dessein d'enrichissement illégitime. En effet, compte tenu de la nature de l'objet dérobé, soit un appareil dentaire destiné à son seul utilisateur, on peine à voir de quelle manière la mise en cause aurait pu en tirer profit, même pour elle-même. De plus, en l'absence de la possibilité d'auditionner la mise en cause, aucun autre acte d'instruction ne serait susceptible d'apporter un élément probant à cet égard. En l'absence du dessein d'enrichissement illégitime, seul l'art. 141 CP, pourrait éventuellement entrer en ligne de compte. Cependant, selon la norme précitée, la soustraction de l'objet doit avoir causé un préjudice considérable, ce qui ne semble pas être le cas ici. En effet, la recourante a récupéré son appareil dentaire, tout au plus, dix jours après sa disparition et, en son absence, elle allègue uniquement s'être blessée à la bouche, sans qu'une telle atteinte ne soit confirmée par aucun élément au dossier. L'autre séquelle évoquée soit le choc émotionnel, voire un évanouissement nécessitant son transport à l'hôpital, par ambulance, ne semble pas liée au larcin mais plutôt à ses troubles préexistants et à la découverte ultérieure de son appareil dentaire chez sa voisine. Les conditions de l'infraction de soustraction d'une chose mobilière n'apparaissent dès lors pas non plus remplies. À titre superfétatoire, si on devait considérer que l'une des infractions est réalisée, les circonstances et les conséquences de l'acte commanderaient, le cas échéant, de renoncer à toute poursuite (art. 8 CPP cum art. 52 CP). Partant, c'est à juste titre que le Ministère public n'est pas entré en matière.</w:t>
      </w:r>
    </w:p>
    <w:p>
      <w:r>
        <w:rPr>
          <w:b/>
        </w:rPr>
        <w:t>E. 5</w:t>
      </w:r>
    </w:p>
    <w:p>
      <w:r>
        <w:t>À bien la comprendre, la recourante reproche également au Ministère public de ne pas avoir traité le sort des autres objets volés dénoncés – une montre [de la collection] D______, une somme en espèces et une paire de lunettes médicales –. Par ce grief, la recourante se plaint d'une violation de son droit d'être entendue.![endif]&gt;![if&gt;</w:t>
      </w:r>
    </w:p>
    <w:p>
      <w:r>
        <w:rPr>
          <w:b/>
        </w:rPr>
        <w:t>E. 5.1</w:t>
      </w:r>
    </w:p>
    <w:p>
      <w:r>
        <w:t>L'autorité qui ne traite pas un grief relevant de sa compétence, motivé de façon suffisante et pertinent pour l'issue du litige, commet un déni de justice formel proscrit par l'art. 29 al. 1 Cst féd. De même, 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5.2</w:t>
      </w:r>
    </w:p>
    <w:p>
      <w:r>
        <w:t>Le Ministère public en ne traitant pas le grief sus énoncé, clair et précis, a commis un déni de justice formel. Un renvoi de la cause ne se justifie cependant pas dès lors qu'il constituerait une vaine formalité et aboutirait à un allongement de la procédure. En effet, il suffit de constater, en l'état, que les éléments versés à la procédure quant auxdits objets dénoncés ne permettent de considérer qu'une infraction a eu lieu – aucun élément au dossier ne permet d'établir la propriété de la recourante sur les objets, ni leur disparition –, ni de porter les soupçons sur un auteur particulier – aucune information sur le moment où ils auraient disparu – et qu'il ne se justifie donc pas d'inviter le Ministère public à en faire lui-même ce constat. Ce grief sera donc rejeté.</w:t>
      </w:r>
    </w:p>
    <w:p>
      <w:r>
        <w:rPr>
          <w:b/>
        </w:rPr>
        <w:t>E. 6</w:t>
      </w:r>
    </w:p>
    <w:p>
      <w:r>
        <w:t>Justifiée, l'ordonnance querellée sera donc confirmée et le recours rejeté.![endif]&gt;![if&gt;</w:t>
      </w:r>
    </w:p>
    <w:p>
      <w:r>
        <w:rPr>
          <w:b/>
        </w:rPr>
        <w:t>E. 7</w:t>
      </w:r>
    </w:p>
    <w:p>
      <w:r>
        <w:t>La recourante sollicite d'être mise au bénéfice de l'assistance judiciaire. ![endif]&gt;![if&gt;</w:t>
      </w:r>
    </w:p>
    <w:p>
      <w:r>
        <w:rPr>
          <w:b/>
        </w:rPr>
        <w:t>E. 7.1</w:t>
      </w:r>
    </w:p>
    <w:p>
      <w:r>
        <w:t>À teneur de l'art. 136 al. 1 CPP – qui concrétise la garantie tirée de l'art. 29 al. 3 Cst. –, la direction de la procédure accorde entièrement ou partiellement l'assistance judiciaire à la partie plaignante pour lui permettre de faire valoir ses prétentions civiles lorsqu'elle est indigente (let. a) et que l'action civile ne paraît pas vouée à l'échec (let. b).![endif]&gt;![if&gt;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w:t>
      </w:r>
    </w:p>
    <w:p>
      <w:r>
        <w:rPr>
          <w:b/>
        </w:rPr>
        <w:t>E. 7.2</w:t>
      </w:r>
    </w:p>
    <w:p>
      <w:r>
        <w:t>In casu, la question de l'indigence de la recourante peut demeurer indécise dès lors qu'il a été jugé supra que ses griefs étaient juridiquement infondés. Il en découle que l'une des conditions pour lui octroyer l'assistance judiciaire n'est manifestement pas réalisée. En outre, la recourante a été en mesure de se prévaloir, seule, de ses griefs et de la violation de son droit d'être entendue. Dans ces circonstances, sa requête ne peut être que rejetée.</w:t>
      </w:r>
    </w:p>
    <w:p>
      <w:r>
        <w:rPr>
          <w:b/>
        </w:rPr>
        <w:t>E. 8</w:t>
      </w:r>
    </w:p>
    <w:p>
      <w:r>
        <w:t>La recourante, qui succombe, supportera les frais envers l'État, fixés en totalité CHF 600.- (art. 428 al. 1 CPP et 13 al. 1 du Règlement fixant le tarif des frais en matière pénale, RTFMP ; E 4 10.03).![endif]&gt;![if&gt;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